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numPr>
          <w:ilvl w:val="0"/>
          <w:numId w:val="0"/>
        </w:numPr>
        <w:spacing w:before="100" w:beforeAutospacing="1" w:after="100" w:afterAutospacing="1" w:line="360" w:lineRule="auto"/>
        <w:jc w:val="left"/>
        <w:rPr>
          <w:rFonts w:hint="eastAsia"/>
          <w:szCs w:val="24"/>
        </w:rPr>
      </w:pPr>
      <w:r>
        <w:rPr>
          <w:rFonts w:hint="eastAsia" w:ascii="宋体" w:hAnsi="宋体" w:eastAsia="宋体" w:cs="宋体"/>
          <w:b/>
          <w:bCs/>
          <w:kern w:val="0"/>
          <w:szCs w:val="21"/>
          <w:lang w:eastAsia="zh-CN"/>
        </w:rPr>
        <w:t>附件</w:t>
      </w:r>
      <w:r>
        <w:rPr>
          <w:rFonts w:hint="eastAsia" w:ascii="宋体" w:hAnsi="宋体" w:eastAsia="宋体" w:cs="宋体"/>
          <w:b/>
          <w:bCs/>
          <w:kern w:val="0"/>
          <w:szCs w:val="21"/>
          <w:lang w:val="en-US" w:eastAsia="zh-CN"/>
        </w:rPr>
        <w:t xml:space="preserve">1                                                   </w:t>
      </w:r>
      <w:r>
        <w:rPr>
          <w:rFonts w:hint="eastAsia" w:ascii="宋体" w:hAnsi="宋体" w:eastAsia="宋体" w:cs="宋体"/>
          <w:b/>
          <w:bCs/>
          <w:kern w:val="0"/>
          <w:sz w:val="30"/>
          <w:szCs w:val="30"/>
          <w:lang w:val="en-US" w:eastAsia="zh-CN"/>
        </w:rPr>
        <w:t xml:space="preserve"> </w:t>
      </w:r>
      <w:r>
        <w:rPr>
          <w:rFonts w:ascii="宋体" w:hAnsi="宋体" w:eastAsia="宋体" w:cs="宋体"/>
          <w:b/>
          <w:bCs/>
          <w:kern w:val="0"/>
          <w:sz w:val="30"/>
          <w:szCs w:val="30"/>
        </w:rPr>
        <w:t>询价内容</w:t>
      </w:r>
      <w:r>
        <w:rPr>
          <w:rFonts w:hint="eastAsia" w:ascii="宋体" w:hAnsi="宋体" w:eastAsia="宋体" w:cs="宋体"/>
          <w:b/>
          <w:bCs/>
          <w:kern w:val="0"/>
          <w:sz w:val="30"/>
          <w:szCs w:val="30"/>
        </w:rPr>
        <w:t>及</w:t>
      </w:r>
      <w:r>
        <w:rPr>
          <w:rFonts w:ascii="宋体" w:hAnsi="宋体" w:eastAsia="宋体" w:cs="宋体"/>
          <w:b/>
          <w:bCs/>
          <w:kern w:val="0"/>
          <w:sz w:val="30"/>
          <w:szCs w:val="30"/>
        </w:rPr>
        <w:t>要求</w:t>
      </w:r>
    </w:p>
    <w:tbl>
      <w:tblPr>
        <w:tblStyle w:val="10"/>
        <w:tblpPr w:leftFromText="180" w:rightFromText="180" w:vertAnchor="text" w:horzAnchor="page" w:tblpX="1667" w:tblpY="15"/>
        <w:tblOverlap w:val="never"/>
        <w:tblW w:w="143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2617"/>
        <w:gridCol w:w="7834"/>
        <w:gridCol w:w="705"/>
        <w:gridCol w:w="145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5" w:type="dxa"/>
            <w:vAlign w:val="center"/>
          </w:tcPr>
          <w:p>
            <w:pPr>
              <w:jc w:val="center"/>
              <w:rPr>
                <w:szCs w:val="24"/>
              </w:rPr>
            </w:pPr>
            <w:bookmarkStart w:id="0" w:name="_Toc304388443"/>
            <w:r>
              <w:rPr>
                <w:rFonts w:hint="eastAsia"/>
                <w:szCs w:val="24"/>
              </w:rPr>
              <w:t>序号</w:t>
            </w:r>
          </w:p>
        </w:tc>
        <w:tc>
          <w:tcPr>
            <w:tcW w:w="2617" w:type="dxa"/>
            <w:vAlign w:val="center"/>
          </w:tcPr>
          <w:p>
            <w:pPr>
              <w:jc w:val="center"/>
              <w:rPr>
                <w:szCs w:val="24"/>
              </w:rPr>
            </w:pPr>
            <w:r>
              <w:rPr>
                <w:rFonts w:hint="eastAsia"/>
                <w:szCs w:val="24"/>
              </w:rPr>
              <w:t>采购项目名称</w:t>
            </w:r>
          </w:p>
        </w:tc>
        <w:tc>
          <w:tcPr>
            <w:tcW w:w="7834" w:type="dxa"/>
            <w:vAlign w:val="center"/>
          </w:tcPr>
          <w:p>
            <w:pPr>
              <w:jc w:val="center"/>
              <w:rPr>
                <w:rFonts w:hint="eastAsia" w:eastAsia="宋体"/>
                <w:szCs w:val="24"/>
                <w:lang w:eastAsia="zh-CN"/>
              </w:rPr>
            </w:pPr>
            <w:r>
              <w:rPr>
                <w:rFonts w:hint="eastAsia" w:ascii="Calibri" w:hAnsi="Calibri" w:eastAsia="宋体" w:cs="宋体"/>
                <w:kern w:val="2"/>
                <w:sz w:val="21"/>
                <w:szCs w:val="21"/>
                <w:lang w:val="en-US" w:eastAsia="zh-CN" w:bidi="ar"/>
              </w:rPr>
              <w:t>主要内容</w:t>
            </w:r>
          </w:p>
        </w:tc>
        <w:tc>
          <w:tcPr>
            <w:tcW w:w="705" w:type="dxa"/>
            <w:vAlign w:val="center"/>
          </w:tcPr>
          <w:p>
            <w:pPr>
              <w:jc w:val="center"/>
              <w:rPr>
                <w:szCs w:val="24"/>
              </w:rPr>
            </w:pPr>
            <w:r>
              <w:rPr>
                <w:rFonts w:hint="eastAsia"/>
                <w:szCs w:val="24"/>
              </w:rPr>
              <w:t>数量</w:t>
            </w:r>
          </w:p>
        </w:tc>
        <w:tc>
          <w:tcPr>
            <w:tcW w:w="1455" w:type="dxa"/>
            <w:vAlign w:val="center"/>
          </w:tcPr>
          <w:p>
            <w:pPr>
              <w:jc w:val="center"/>
              <w:rPr>
                <w:szCs w:val="24"/>
              </w:rPr>
            </w:pPr>
            <w:r>
              <w:rPr>
                <w:rFonts w:hint="eastAsia"/>
                <w:szCs w:val="24"/>
                <w:lang w:eastAsia="zh-CN"/>
              </w:rPr>
              <w:t>采购控制</w:t>
            </w:r>
            <w:r>
              <w:rPr>
                <w:rFonts w:hint="eastAsia"/>
                <w:szCs w:val="24"/>
              </w:rPr>
              <w:t>单价</w:t>
            </w:r>
          </w:p>
          <w:p>
            <w:pPr>
              <w:jc w:val="center"/>
              <w:rPr>
                <w:szCs w:val="24"/>
              </w:rPr>
            </w:pPr>
            <w:r>
              <w:rPr>
                <w:rFonts w:hint="eastAsia"/>
                <w:szCs w:val="24"/>
              </w:rPr>
              <w:t>（元</w:t>
            </w:r>
            <w:r>
              <w:rPr>
                <w:szCs w:val="24"/>
              </w:rPr>
              <w:t>）</w:t>
            </w:r>
          </w:p>
        </w:tc>
        <w:tc>
          <w:tcPr>
            <w:tcW w:w="1170" w:type="dxa"/>
            <w:vAlign w:val="center"/>
          </w:tcPr>
          <w:p>
            <w:pPr>
              <w:jc w:val="center"/>
              <w:rPr>
                <w:szCs w:val="24"/>
              </w:rPr>
            </w:pPr>
            <w:r>
              <w:rPr>
                <w:rFonts w:hint="eastAsia"/>
                <w:szCs w:val="24"/>
                <w:lang w:eastAsia="zh-CN"/>
              </w:rPr>
              <w:t>采购控制总价</w:t>
            </w:r>
            <w:r>
              <w:rPr>
                <w:rFonts w:hint="eastAsia"/>
                <w:szCs w:val="24"/>
              </w:rPr>
              <w:t>（元</w:t>
            </w:r>
            <w:r>
              <w:rPr>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9" w:hRule="atLeast"/>
        </w:trPr>
        <w:tc>
          <w:tcPr>
            <w:tcW w:w="595" w:type="dxa"/>
            <w:vAlign w:val="center"/>
          </w:tcPr>
          <w:p>
            <w:pPr>
              <w:jc w:val="center"/>
              <w:rPr>
                <w:szCs w:val="24"/>
              </w:rPr>
            </w:pPr>
            <w:bookmarkStart w:id="1" w:name="OLE_LINK1" w:colFirst="7" w:colLast="7"/>
            <w:r>
              <w:rPr>
                <w:rFonts w:hint="eastAsia"/>
                <w:szCs w:val="24"/>
              </w:rPr>
              <w:t>1</w:t>
            </w:r>
          </w:p>
        </w:tc>
        <w:tc>
          <w:tcPr>
            <w:tcW w:w="2617" w:type="dxa"/>
            <w:vAlign w:val="center"/>
          </w:tcPr>
          <w:p>
            <w:pPr>
              <w:spacing w:line="276" w:lineRule="auto"/>
              <w:jc w:val="center"/>
              <w:rPr>
                <w:szCs w:val="24"/>
              </w:rPr>
            </w:pPr>
            <w:r>
              <w:rPr>
                <w:rFonts w:hint="eastAsia" w:ascii="宋体" w:hAnsi="宋体" w:eastAsia="宋体" w:cs="宋体"/>
                <w:color w:val="000000"/>
                <w:kern w:val="0"/>
                <w:szCs w:val="21"/>
                <w:lang w:bidi="ar"/>
              </w:rPr>
              <w:t>上肢外科基本操作模型</w:t>
            </w:r>
          </w:p>
        </w:tc>
        <w:tc>
          <w:tcPr>
            <w:tcW w:w="7834" w:type="dxa"/>
            <w:vAlign w:val="center"/>
          </w:tcPr>
          <w:p>
            <w:pPr>
              <w:spacing w:line="240" w:lineRule="auto"/>
              <w:jc w:val="left"/>
              <w:rPr>
                <w:szCs w:val="24"/>
              </w:rPr>
            </w:pPr>
            <w:r>
              <w:rPr>
                <w:rFonts w:hint="eastAsia" w:ascii="宋体" w:hAnsi="宋体" w:cs="宋体"/>
                <w:color w:val="000000"/>
                <w:szCs w:val="21"/>
              </w:rPr>
              <w:t>模型成年人左/右手臂，形态逼真，触感真实，肤质仿真度高；可练习习切开术，缝合术、包扎术行外科切开、缝合、打结、包扎、拆线等基本技能训练；皮肤分层明显，切开皮肤以后可暴露红色的肌肉组织；可反复进行练习。</w:t>
            </w:r>
          </w:p>
        </w:tc>
        <w:tc>
          <w:tcPr>
            <w:tcW w:w="705" w:type="dxa"/>
            <w:vAlign w:val="center"/>
          </w:tcPr>
          <w:p>
            <w:pPr>
              <w:spacing w:line="200" w:lineRule="exact"/>
              <w:jc w:val="center"/>
              <w:rPr>
                <w:rFonts w:hint="eastAsia" w:eastAsia="宋体"/>
                <w:szCs w:val="24"/>
                <w:lang w:val="en-US" w:eastAsia="zh-CN"/>
              </w:rPr>
            </w:pPr>
            <w:r>
              <w:rPr>
                <w:rFonts w:hint="eastAsia"/>
                <w:szCs w:val="24"/>
                <w:lang w:val="en-US" w:eastAsia="zh-CN"/>
              </w:rPr>
              <w:t>5</w:t>
            </w:r>
          </w:p>
        </w:tc>
        <w:tc>
          <w:tcPr>
            <w:tcW w:w="1455" w:type="dxa"/>
            <w:vAlign w:val="center"/>
          </w:tcPr>
          <w:p>
            <w:pPr>
              <w:spacing w:line="276" w:lineRule="auto"/>
              <w:jc w:val="center"/>
              <w:rPr>
                <w:rFonts w:hint="eastAsia" w:eastAsia="宋体"/>
                <w:szCs w:val="24"/>
                <w:lang w:val="en-US" w:eastAsia="zh-CN"/>
              </w:rPr>
            </w:pPr>
            <w:r>
              <w:rPr>
                <w:rFonts w:hint="eastAsia" w:ascii="宋体" w:hAnsi="宋体" w:eastAsia="宋体" w:cs="宋体"/>
                <w:color w:val="000000"/>
                <w:kern w:val="0"/>
                <w:szCs w:val="21"/>
              </w:rPr>
              <w:t>15</w:t>
            </w:r>
            <w:r>
              <w:rPr>
                <w:rFonts w:hint="eastAsia" w:ascii="宋体" w:hAnsi="宋体" w:cs="宋体"/>
                <w:color w:val="000000"/>
                <w:kern w:val="0"/>
                <w:szCs w:val="21"/>
                <w:lang w:val="en-US" w:eastAsia="zh-CN"/>
              </w:rPr>
              <w:t>00</w:t>
            </w:r>
          </w:p>
        </w:tc>
        <w:tc>
          <w:tcPr>
            <w:tcW w:w="1170" w:type="dxa"/>
            <w:vAlign w:val="center"/>
          </w:tcPr>
          <w:p>
            <w:pPr>
              <w:spacing w:line="276" w:lineRule="auto"/>
              <w:jc w:val="center"/>
              <w:rPr>
                <w:rFonts w:hint="eastAsia" w:eastAsia="宋体"/>
                <w:szCs w:val="24"/>
                <w:lang w:val="en-US" w:eastAsia="zh-CN"/>
              </w:rPr>
            </w:pPr>
            <w:r>
              <w:rPr>
                <w:rFonts w:hint="eastAsia" w:ascii="宋体" w:hAnsi="宋体" w:eastAsia="宋体" w:cs="宋体"/>
                <w:color w:val="000000"/>
                <w:kern w:val="0"/>
                <w:szCs w:val="21"/>
              </w:rPr>
              <w:t>75</w:t>
            </w:r>
            <w:r>
              <w:rPr>
                <w:rFonts w:hint="eastAsia" w:ascii="宋体" w:hAnsi="宋体" w:cs="宋体"/>
                <w:color w:val="000000"/>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595" w:type="dxa"/>
            <w:vAlign w:val="center"/>
          </w:tcPr>
          <w:p>
            <w:pPr>
              <w:jc w:val="center"/>
              <w:rPr>
                <w:szCs w:val="24"/>
              </w:rPr>
            </w:pPr>
            <w:r>
              <w:rPr>
                <w:rFonts w:hint="eastAsia"/>
                <w:szCs w:val="24"/>
              </w:rPr>
              <w:t>2</w:t>
            </w:r>
          </w:p>
        </w:tc>
        <w:tc>
          <w:tcPr>
            <w:tcW w:w="2617" w:type="dxa"/>
            <w:vAlign w:val="center"/>
          </w:tcPr>
          <w:p>
            <w:pPr>
              <w:spacing w:line="276" w:lineRule="auto"/>
              <w:jc w:val="center"/>
              <w:rPr>
                <w:szCs w:val="24"/>
              </w:rPr>
            </w:pPr>
            <w:r>
              <w:rPr>
                <w:rFonts w:hint="eastAsia" w:ascii="宋体" w:hAnsi="宋体" w:eastAsia="宋体" w:cs="宋体"/>
                <w:color w:val="000000"/>
                <w:kern w:val="0"/>
                <w:szCs w:val="21"/>
                <w:lang w:bidi="ar"/>
              </w:rPr>
              <w:t>半身心肺复苏操作及考核模型</w:t>
            </w:r>
          </w:p>
        </w:tc>
        <w:tc>
          <w:tcPr>
            <w:tcW w:w="7834" w:type="dxa"/>
            <w:vAlign w:val="center"/>
          </w:tcPr>
          <w:p>
            <w:pPr>
              <w:spacing w:line="240" w:lineRule="exact"/>
              <w:jc w:val="left"/>
              <w:rPr>
                <w:rFonts w:hint="eastAsia"/>
                <w:szCs w:val="21"/>
              </w:rPr>
            </w:pPr>
            <w:r>
              <w:rPr>
                <w:rFonts w:hint="eastAsia" w:ascii="宋体" w:hAnsi="宋体" w:cs="宋体"/>
                <w:color w:val="000000"/>
                <w:szCs w:val="21"/>
              </w:rPr>
              <w:t>成年男性上半身，解剖标志明显(肋弓、剑突)；可行仰头举颏法、仰头抬颈法、双手抬颌法三种方法打开气道并可用呼吸面罩进行通气；颈动动脉搏动；有按压深度提示；按压压时可见心脏血液流向头部(指示灯显示)；吹气时可见气体流向肺部；有按压频率引导音,便于初学者引导练习；急救成功后,可见全身血液循环恢复；模型可内置锂电池,采用USB插口充电,超长续航,可连续工作60小时；配有专用轻便提拉软包。</w:t>
            </w:r>
          </w:p>
        </w:tc>
        <w:tc>
          <w:tcPr>
            <w:tcW w:w="705" w:type="dxa"/>
            <w:vAlign w:val="center"/>
          </w:tcPr>
          <w:p>
            <w:pPr>
              <w:jc w:val="center"/>
              <w:rPr>
                <w:rFonts w:hint="eastAsia" w:eastAsia="宋体"/>
                <w:szCs w:val="24"/>
                <w:lang w:val="en-US" w:eastAsia="zh-CN"/>
              </w:rPr>
            </w:pPr>
            <w:r>
              <w:rPr>
                <w:rFonts w:hint="eastAsia"/>
                <w:szCs w:val="24"/>
                <w:lang w:val="en-US" w:eastAsia="zh-CN"/>
              </w:rPr>
              <w:t>5</w:t>
            </w:r>
          </w:p>
        </w:tc>
        <w:tc>
          <w:tcPr>
            <w:tcW w:w="1455" w:type="dxa"/>
            <w:vAlign w:val="center"/>
          </w:tcPr>
          <w:p>
            <w:pPr>
              <w:spacing w:line="276" w:lineRule="auto"/>
              <w:jc w:val="center"/>
              <w:rPr>
                <w:rFonts w:hint="eastAsia" w:eastAsia="宋体"/>
                <w:szCs w:val="24"/>
                <w:lang w:val="en-US" w:eastAsia="zh-CN"/>
              </w:rPr>
            </w:pPr>
            <w:r>
              <w:rPr>
                <w:rFonts w:hint="eastAsia" w:ascii="宋体" w:hAnsi="宋体" w:eastAsia="宋体" w:cs="宋体"/>
                <w:color w:val="000000"/>
                <w:kern w:val="0"/>
                <w:szCs w:val="21"/>
              </w:rPr>
              <w:t>6</w:t>
            </w:r>
            <w:r>
              <w:rPr>
                <w:rFonts w:hint="eastAsia" w:ascii="宋体" w:hAnsi="宋体" w:cs="宋体"/>
                <w:color w:val="000000"/>
                <w:kern w:val="0"/>
                <w:szCs w:val="21"/>
                <w:lang w:val="en-US" w:eastAsia="zh-CN"/>
              </w:rPr>
              <w:t>000</w:t>
            </w:r>
          </w:p>
        </w:tc>
        <w:tc>
          <w:tcPr>
            <w:tcW w:w="1170" w:type="dxa"/>
            <w:vAlign w:val="center"/>
          </w:tcPr>
          <w:p>
            <w:pPr>
              <w:spacing w:line="276" w:lineRule="auto"/>
              <w:jc w:val="center"/>
              <w:rPr>
                <w:rFonts w:hint="eastAsia" w:eastAsia="宋体"/>
                <w:szCs w:val="24"/>
                <w:lang w:val="en-US" w:eastAsia="zh-CN"/>
              </w:rPr>
            </w:pPr>
            <w:r>
              <w:rPr>
                <w:rFonts w:hint="eastAsia" w:ascii="宋体" w:hAnsi="宋体" w:eastAsia="宋体" w:cs="宋体"/>
                <w:color w:val="000000"/>
                <w:kern w:val="0"/>
                <w:szCs w:val="21"/>
              </w:rPr>
              <w:t>3</w:t>
            </w:r>
            <w:r>
              <w:rPr>
                <w:rFonts w:hint="eastAsia" w:ascii="宋体" w:hAnsi="宋体" w:cs="宋体"/>
                <w:color w:val="000000"/>
                <w:kern w:val="0"/>
                <w:szCs w:val="21"/>
                <w:lang w:val="en-US" w:eastAsia="zh-CN"/>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1" w:hRule="atLeast"/>
        </w:trPr>
        <w:tc>
          <w:tcPr>
            <w:tcW w:w="595" w:type="dxa"/>
            <w:tcBorders>
              <w:top w:val="single" w:color="auto" w:sz="4" w:space="0"/>
              <w:left w:val="single" w:color="auto" w:sz="4" w:space="0"/>
              <w:right w:val="single" w:color="auto" w:sz="4" w:space="0"/>
            </w:tcBorders>
            <w:vAlign w:val="center"/>
          </w:tcPr>
          <w:p>
            <w:pPr>
              <w:jc w:val="center"/>
              <w:rPr>
                <w:szCs w:val="24"/>
              </w:rPr>
            </w:pPr>
            <w:r>
              <w:rPr>
                <w:szCs w:val="24"/>
              </w:rPr>
              <w:t>3</w:t>
            </w:r>
          </w:p>
        </w:tc>
        <w:tc>
          <w:tcPr>
            <w:tcW w:w="2617" w:type="dxa"/>
            <w:tcBorders>
              <w:top w:val="single" w:color="auto" w:sz="4" w:space="0"/>
              <w:left w:val="single" w:color="auto" w:sz="4" w:space="0"/>
              <w:right w:val="single" w:color="auto" w:sz="4" w:space="0"/>
            </w:tcBorders>
            <w:vAlign w:val="center"/>
          </w:tcPr>
          <w:p>
            <w:pPr>
              <w:spacing w:line="276" w:lineRule="auto"/>
              <w:jc w:val="center"/>
              <w:rPr>
                <w:szCs w:val="24"/>
              </w:rPr>
            </w:pPr>
            <w:r>
              <w:rPr>
                <w:rFonts w:hint="eastAsia" w:ascii="宋体" w:hAnsi="宋体" w:eastAsia="宋体" w:cs="宋体"/>
                <w:color w:val="000000"/>
                <w:kern w:val="0"/>
                <w:szCs w:val="21"/>
                <w:lang w:bidi="ar"/>
              </w:rPr>
              <w:t>高级全功能老年人护理人体模型</w:t>
            </w:r>
          </w:p>
        </w:tc>
        <w:tc>
          <w:tcPr>
            <w:tcW w:w="7834" w:type="dxa"/>
            <w:vAlign w:val="center"/>
          </w:tcPr>
          <w:p>
            <w:pPr>
              <w:widowControl/>
              <w:jc w:val="left"/>
              <w:textAlignment w:val="top"/>
              <w:rPr>
                <w:rFonts w:hint="eastAsia" w:ascii="宋体" w:hAnsi="宋体" w:cs="宋体"/>
                <w:color w:val="000000"/>
                <w:szCs w:val="21"/>
              </w:rPr>
            </w:pPr>
            <w:r>
              <w:rPr>
                <w:rFonts w:hint="eastAsia" w:ascii="宋体" w:hAnsi="宋体" w:cs="宋体"/>
                <w:color w:val="000000"/>
                <w:szCs w:val="21"/>
              </w:rPr>
              <w:t>可洗头发、洗脸；瞳孔观察,正常、散大、缩小直观对比；耳清洗滴药；口臀部肌内注射；口腔护理、假牙护理；口鼻气管插管时,支持听诊检测插管位置；气管切开护理；氧气吸入法；吸痰法；手臂静脉穿刺、注射、输液(血)；灌肠法。四肢关节逼真，模拟关节僵硬，躯干部可前倾，可坐轮椅；三角肌皮下注射；股外侧肌内注射等；躯干-旋转，曲伸；颈部一旋转，曲伸，侧弯；肩部和臀部一内收，外展，旋转，曲伸；肘部一旋内，旋外膝部一旋内，旋外；腕部一旋内，曲伸，伸展,弯曲；踝部一内翻，外翻，内收，外展。</w:t>
            </w:r>
          </w:p>
          <w:p>
            <w:pPr>
              <w:widowControl/>
              <w:jc w:val="left"/>
              <w:textAlignment w:val="top"/>
              <w:rPr>
                <w:rFonts w:hint="eastAsia" w:ascii="宋体" w:hAnsi="宋体" w:cs="宋体"/>
                <w:color w:val="000000"/>
                <w:szCs w:val="21"/>
              </w:rPr>
            </w:pPr>
            <w:r>
              <w:rPr>
                <w:rFonts w:hint="eastAsia" w:ascii="宋体" w:hAnsi="宋体" w:cs="宋体"/>
                <w:color w:val="000000"/>
                <w:szCs w:val="21"/>
              </w:rPr>
              <w:t>男/女性导尿术</w:t>
            </w:r>
            <w:r>
              <w:rPr>
                <w:rFonts w:hint="eastAsia" w:ascii="宋体" w:hAnsi="宋体" w:cs="宋体"/>
                <w:color w:val="000000"/>
                <w:szCs w:val="21"/>
                <w:lang w:eastAsia="zh-CN"/>
              </w:rPr>
              <w:t>、</w:t>
            </w:r>
            <w:r>
              <w:rPr>
                <w:rFonts w:hint="eastAsia" w:ascii="宋体" w:hAnsi="宋体" w:cs="宋体"/>
                <w:color w:val="000000"/>
                <w:szCs w:val="21"/>
              </w:rPr>
              <w:t>男/女性膀胱冲洗</w:t>
            </w:r>
            <w:r>
              <w:rPr>
                <w:rFonts w:hint="eastAsia" w:ascii="宋体" w:hAnsi="宋体" w:cs="宋体"/>
                <w:color w:val="000000"/>
                <w:szCs w:val="21"/>
              </w:rPr>
              <w:br w:type="textWrapping"/>
            </w:r>
            <w:r>
              <w:rPr>
                <w:rFonts w:hint="eastAsia" w:ascii="宋体" w:hAnsi="宋体" w:cs="宋体"/>
                <w:color w:val="000000"/>
                <w:szCs w:val="21"/>
              </w:rPr>
              <w:t>造瘘引流术</w:t>
            </w:r>
            <w:r>
              <w:rPr>
                <w:rFonts w:hint="eastAsia" w:ascii="宋体" w:hAnsi="宋体" w:cs="宋体"/>
                <w:color w:val="000000"/>
                <w:szCs w:val="21"/>
                <w:lang w:eastAsia="zh-CN"/>
              </w:rPr>
              <w:t>、</w:t>
            </w:r>
            <w:r>
              <w:rPr>
                <w:rFonts w:hint="eastAsia" w:ascii="宋体" w:hAnsi="宋体" w:cs="宋体"/>
                <w:color w:val="000000"/>
                <w:szCs w:val="21"/>
              </w:rPr>
              <w:t>结肠造瘘术</w:t>
            </w:r>
            <w:r>
              <w:rPr>
                <w:rFonts w:hint="eastAsia" w:ascii="宋体" w:hAnsi="宋体" w:cs="宋体"/>
                <w:color w:val="000000"/>
                <w:szCs w:val="21"/>
              </w:rPr>
              <w:br w:type="textWrapping"/>
            </w:r>
            <w:r>
              <w:rPr>
                <w:rFonts w:hint="eastAsia" w:ascii="宋体" w:hAnsi="宋体" w:cs="宋体"/>
                <w:color w:val="000000"/>
                <w:szCs w:val="21"/>
              </w:rPr>
              <w:t>臀部肌肉注射</w:t>
            </w:r>
            <w:r>
              <w:rPr>
                <w:rFonts w:hint="eastAsia" w:ascii="宋体" w:hAnsi="宋体" w:cs="宋体"/>
                <w:color w:val="000000"/>
                <w:szCs w:val="21"/>
                <w:lang w:eastAsia="zh-CN"/>
              </w:rPr>
              <w:t>、</w:t>
            </w:r>
            <w:r>
              <w:rPr>
                <w:rFonts w:hint="eastAsia" w:ascii="宋体" w:hAnsi="宋体" w:cs="宋体"/>
                <w:color w:val="000000"/>
                <w:szCs w:val="21"/>
              </w:rPr>
              <w:t>大面积骶骨位置溃烂</w:t>
            </w:r>
            <w:r>
              <w:rPr>
                <w:rFonts w:hint="eastAsia" w:ascii="宋体" w:hAnsi="宋体" w:cs="宋体"/>
                <w:color w:val="000000"/>
                <w:szCs w:val="21"/>
              </w:rPr>
              <w:br w:type="textWrapping"/>
            </w:r>
            <w:r>
              <w:rPr>
                <w:rFonts w:hint="eastAsia" w:ascii="宋体" w:hAnsi="宋体" w:cs="宋体"/>
                <w:color w:val="000000"/>
                <w:szCs w:val="21"/>
              </w:rPr>
              <w:t>癌症肿块的对比</w:t>
            </w:r>
            <w:r>
              <w:rPr>
                <w:rFonts w:hint="eastAsia" w:ascii="宋体" w:hAnsi="宋体" w:cs="宋体"/>
                <w:color w:val="000000"/>
                <w:szCs w:val="21"/>
                <w:lang w:eastAsia="zh-CN"/>
              </w:rPr>
              <w:t>、</w:t>
            </w:r>
            <w:r>
              <w:rPr>
                <w:rFonts w:hint="eastAsia" w:ascii="宋体" w:hAnsi="宋体" w:cs="宋体"/>
                <w:color w:val="000000"/>
                <w:szCs w:val="21"/>
              </w:rPr>
              <w:t>皮摺对比</w:t>
            </w:r>
          </w:p>
          <w:p>
            <w:pPr>
              <w:widowControl/>
              <w:jc w:val="left"/>
              <w:textAlignment w:val="top"/>
              <w:rPr>
                <w:rFonts w:hint="eastAsia" w:eastAsia="宋体"/>
                <w:szCs w:val="21"/>
                <w:lang w:val="en-US" w:eastAsia="zh-CN"/>
              </w:rPr>
            </w:pPr>
            <w:r>
              <w:rPr>
                <w:rFonts w:hint="eastAsia" w:ascii="宋体" w:hAnsi="宋体" w:cs="宋体"/>
                <w:color w:val="000000"/>
                <w:szCs w:val="21"/>
              </w:rPr>
              <w:t>胸腔、骨髓、腰椎穿刺</w:t>
            </w:r>
            <w:r>
              <w:rPr>
                <w:rFonts w:hint="eastAsia" w:ascii="宋体" w:hAnsi="宋体" w:cs="宋体"/>
                <w:color w:val="000000"/>
                <w:szCs w:val="21"/>
                <w:lang w:eastAsia="zh-CN"/>
              </w:rPr>
              <w:t>、</w:t>
            </w:r>
            <w:r>
              <w:rPr>
                <w:rFonts w:hint="eastAsia" w:ascii="宋体" w:hAnsi="宋体" w:cs="宋体"/>
                <w:color w:val="000000"/>
                <w:szCs w:val="21"/>
              </w:rPr>
              <w:t>无创血压测量：</w:t>
            </w:r>
            <w:r>
              <w:rPr>
                <w:rFonts w:hint="eastAsia" w:ascii="宋体" w:hAnsi="宋体" w:cs="宋体"/>
                <w:color w:val="000000"/>
                <w:szCs w:val="21"/>
              </w:rPr>
              <w:br w:type="textWrapping"/>
            </w:r>
            <w:r>
              <w:rPr>
                <w:rFonts w:hint="eastAsia" w:ascii="宋体" w:hAnsi="宋体" w:cs="宋体"/>
                <w:color w:val="000000"/>
                <w:szCs w:val="21"/>
              </w:rPr>
              <w:t>收缩压和舒张压可单独放置，每次为1mmHg</w:t>
            </w:r>
            <w:r>
              <w:rPr>
                <w:rFonts w:hint="eastAsia" w:ascii="宋体" w:hAnsi="宋体" w:cs="宋体"/>
                <w:color w:val="000000"/>
                <w:szCs w:val="21"/>
              </w:rPr>
              <w:br w:type="textWrapping"/>
            </w:r>
            <w:r>
              <w:rPr>
                <w:rFonts w:hint="eastAsia" w:ascii="宋体" w:hAnsi="宋体" w:cs="宋体"/>
                <w:color w:val="000000"/>
                <w:szCs w:val="21"/>
              </w:rPr>
              <w:t>收缩压0-300mmHg，舒张压0-300mmHg</w:t>
            </w:r>
            <w:r>
              <w:rPr>
                <w:rFonts w:hint="eastAsia" w:ascii="宋体" w:hAnsi="宋体" w:cs="宋体"/>
                <w:color w:val="000000"/>
                <w:szCs w:val="21"/>
              </w:rPr>
              <w:br w:type="textWrapping"/>
            </w:r>
            <w:r>
              <w:rPr>
                <w:rFonts w:hint="eastAsia" w:ascii="宋体" w:hAnsi="宋体" w:cs="宋体"/>
                <w:color w:val="000000"/>
                <w:szCs w:val="21"/>
              </w:rPr>
              <w:t>科罗特科夫音量可从0-9进行调节</w:t>
            </w:r>
          </w:p>
        </w:tc>
        <w:tc>
          <w:tcPr>
            <w:tcW w:w="705" w:type="dxa"/>
            <w:tcBorders>
              <w:top w:val="single" w:color="auto" w:sz="4" w:space="0"/>
              <w:left w:val="single" w:color="auto" w:sz="4" w:space="0"/>
              <w:right w:val="single" w:color="auto" w:sz="4" w:space="0"/>
            </w:tcBorders>
            <w:vAlign w:val="center"/>
          </w:tcPr>
          <w:p>
            <w:pPr>
              <w:jc w:val="center"/>
              <w:rPr>
                <w:rFonts w:hint="eastAsia" w:eastAsia="宋体"/>
                <w:szCs w:val="24"/>
                <w:lang w:val="en-US" w:eastAsia="zh-CN"/>
              </w:rPr>
            </w:pPr>
            <w:r>
              <w:rPr>
                <w:rFonts w:hint="eastAsia"/>
                <w:szCs w:val="24"/>
                <w:lang w:val="en-US" w:eastAsia="zh-CN"/>
              </w:rPr>
              <w:t>5</w:t>
            </w:r>
          </w:p>
        </w:tc>
        <w:tc>
          <w:tcPr>
            <w:tcW w:w="1455" w:type="dxa"/>
            <w:tcBorders>
              <w:top w:val="single" w:color="auto" w:sz="4" w:space="0"/>
              <w:left w:val="single" w:color="auto" w:sz="4" w:space="0"/>
              <w:right w:val="single" w:color="auto" w:sz="4" w:space="0"/>
            </w:tcBorders>
            <w:vAlign w:val="center"/>
          </w:tcPr>
          <w:p>
            <w:pPr>
              <w:spacing w:line="276" w:lineRule="auto"/>
              <w:jc w:val="center"/>
              <w:rPr>
                <w:rFonts w:hint="eastAsia" w:eastAsia="宋体"/>
                <w:szCs w:val="24"/>
                <w:lang w:val="en-US" w:eastAsia="zh-CN"/>
              </w:rPr>
            </w:pPr>
            <w:r>
              <w:rPr>
                <w:rFonts w:hint="eastAsia" w:ascii="宋体" w:hAnsi="宋体" w:eastAsia="宋体" w:cs="宋体"/>
                <w:color w:val="000000"/>
                <w:kern w:val="0"/>
                <w:szCs w:val="21"/>
              </w:rPr>
              <w:t>58</w:t>
            </w:r>
            <w:r>
              <w:rPr>
                <w:rFonts w:hint="eastAsia" w:ascii="宋体" w:hAnsi="宋体" w:cs="宋体"/>
                <w:color w:val="000000"/>
                <w:kern w:val="0"/>
                <w:szCs w:val="21"/>
                <w:lang w:val="en-US" w:eastAsia="zh-CN"/>
              </w:rPr>
              <w:t>00</w:t>
            </w:r>
          </w:p>
        </w:tc>
        <w:tc>
          <w:tcPr>
            <w:tcW w:w="1170" w:type="dxa"/>
            <w:tcBorders>
              <w:top w:val="single" w:color="auto" w:sz="4" w:space="0"/>
              <w:left w:val="single" w:color="auto" w:sz="4" w:space="0"/>
              <w:right w:val="single" w:color="auto" w:sz="4" w:space="0"/>
            </w:tcBorders>
            <w:vAlign w:val="center"/>
          </w:tcPr>
          <w:p>
            <w:pPr>
              <w:spacing w:line="276" w:lineRule="auto"/>
              <w:jc w:val="center"/>
              <w:rPr>
                <w:rFonts w:hint="eastAsia" w:eastAsia="宋体"/>
                <w:szCs w:val="24"/>
                <w:lang w:val="en-US" w:eastAsia="zh-CN"/>
              </w:rPr>
            </w:pPr>
            <w:r>
              <w:rPr>
                <w:rFonts w:hint="eastAsia" w:ascii="宋体" w:hAnsi="宋体" w:eastAsia="宋体" w:cs="宋体"/>
                <w:color w:val="000000"/>
                <w:kern w:val="0"/>
                <w:szCs w:val="21"/>
              </w:rPr>
              <w:t>29</w:t>
            </w:r>
            <w:r>
              <w:rPr>
                <w:rFonts w:hint="eastAsia" w:ascii="宋体" w:hAnsi="宋体" w:cs="宋体"/>
                <w:color w:val="000000"/>
                <w:kern w:val="0"/>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1" w:hRule="atLeast"/>
        </w:trPr>
        <w:tc>
          <w:tcPr>
            <w:tcW w:w="595" w:type="dxa"/>
            <w:vAlign w:val="center"/>
          </w:tcPr>
          <w:p>
            <w:pPr>
              <w:jc w:val="center"/>
              <w:rPr>
                <w:rFonts w:hint="eastAsia"/>
                <w:szCs w:val="24"/>
              </w:rPr>
            </w:pPr>
          </w:p>
        </w:tc>
        <w:tc>
          <w:tcPr>
            <w:tcW w:w="2617" w:type="dxa"/>
            <w:vAlign w:val="center"/>
          </w:tcPr>
          <w:p>
            <w:pPr>
              <w:keepNext w:val="0"/>
              <w:keepLines w:val="0"/>
              <w:widowControl/>
              <w:suppressLineNumbers w:val="0"/>
              <w:jc w:val="center"/>
              <w:textAlignment w:val="center"/>
              <w:rPr>
                <w:szCs w:val="24"/>
              </w:rPr>
            </w:pPr>
          </w:p>
        </w:tc>
        <w:tc>
          <w:tcPr>
            <w:tcW w:w="7834" w:type="dxa"/>
            <w:vAlign w:val="center"/>
          </w:tcPr>
          <w:p>
            <w:pPr>
              <w:jc w:val="center"/>
              <w:rPr>
                <w:szCs w:val="24"/>
              </w:rPr>
            </w:pPr>
          </w:p>
        </w:tc>
        <w:tc>
          <w:tcPr>
            <w:tcW w:w="705" w:type="dxa"/>
            <w:vAlign w:val="center"/>
          </w:tcPr>
          <w:p>
            <w:pPr>
              <w:jc w:val="center"/>
              <w:rPr>
                <w:rFonts w:hint="eastAsia" w:eastAsia="宋体"/>
                <w:szCs w:val="24"/>
                <w:lang w:val="en-US" w:eastAsia="zh-CN"/>
              </w:rPr>
            </w:pPr>
          </w:p>
        </w:tc>
        <w:tc>
          <w:tcPr>
            <w:tcW w:w="1455" w:type="dxa"/>
            <w:vAlign w:val="center"/>
          </w:tcPr>
          <w:p>
            <w:pPr>
              <w:jc w:val="center"/>
              <w:rPr>
                <w:rFonts w:hint="eastAsia" w:eastAsia="宋体"/>
                <w:szCs w:val="24"/>
                <w:lang w:val="en-US" w:eastAsia="zh-CN"/>
              </w:rPr>
            </w:pPr>
            <w:r>
              <w:rPr>
                <w:rFonts w:hint="eastAsia" w:ascii="宋体" w:hAnsi="宋体" w:eastAsia="宋体" w:cs="宋体"/>
                <w:i w:val="0"/>
                <w:color w:val="000000"/>
                <w:kern w:val="0"/>
                <w:sz w:val="20"/>
                <w:szCs w:val="20"/>
                <w:u w:val="none"/>
                <w:lang w:val="en-US" w:eastAsia="zh-CN" w:bidi="ar"/>
              </w:rPr>
              <w:t>合计</w:t>
            </w:r>
          </w:p>
        </w:tc>
        <w:tc>
          <w:tcPr>
            <w:tcW w:w="1170" w:type="dxa"/>
            <w:vAlign w:val="center"/>
          </w:tcPr>
          <w:p>
            <w:pPr>
              <w:jc w:val="center"/>
              <w:rPr>
                <w:rFonts w:hint="eastAsia" w:eastAsia="宋体"/>
                <w:szCs w:val="24"/>
                <w:lang w:val="en-US" w:eastAsia="zh-CN"/>
              </w:rPr>
            </w:pPr>
            <w:r>
              <w:rPr>
                <w:rFonts w:hint="eastAsia" w:eastAsia="宋体"/>
                <w:szCs w:val="24"/>
                <w:lang w:val="en-US" w:eastAsia="zh-CN"/>
              </w:rPr>
              <w:t>66500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14376" w:type="dxa"/>
            <w:gridSpan w:val="6"/>
            <w:vAlign w:val="center"/>
          </w:tcPr>
          <w:p>
            <w:pPr>
              <w:keepNext w:val="0"/>
              <w:keepLines w:val="0"/>
              <w:widowControl/>
              <w:suppressLineNumbers w:val="0"/>
              <w:spacing w:before="0" w:beforeAutospacing="0" w:after="0" w:afterAutospacing="0"/>
              <w:ind w:left="0" w:leftChars="0" w:right="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备注：</w:t>
            </w:r>
          </w:p>
          <w:p>
            <w:pPr>
              <w:keepNext w:val="0"/>
              <w:keepLines w:val="0"/>
              <w:widowControl/>
              <w:suppressLineNumbers w:val="0"/>
              <w:spacing w:before="0" w:beforeAutospacing="0" w:after="0" w:afterAutospacing="0"/>
              <w:ind w:left="0" w:leftChars="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1.以上费用含施工费、含装卸费、含到施工场地运输费、含增值税普票。</w:t>
            </w:r>
          </w:p>
          <w:p>
            <w:pPr>
              <w:keepNext w:val="0"/>
              <w:keepLines w:val="0"/>
              <w:widowControl/>
              <w:numPr>
                <w:ilvl w:val="0"/>
                <w:numId w:val="0"/>
              </w:numPr>
              <w:suppressLineNumbers w:val="0"/>
              <w:spacing w:before="0" w:beforeAutospacing="0" w:after="0" w:afterAutospacing="0"/>
              <w:ind w:right="0"/>
              <w:jc w:val="left"/>
              <w:rPr>
                <w:rFonts w:hint="eastAsia" w:ascii="Calibri" w:hAnsi="Calibri" w:eastAsia="宋体" w:cs="宋体"/>
                <w:kern w:val="2"/>
                <w:sz w:val="21"/>
                <w:szCs w:val="21"/>
              </w:rPr>
            </w:pPr>
            <w:r>
              <w:rPr>
                <w:rFonts w:hint="eastAsia" w:ascii="Calibri" w:hAnsi="Calibri" w:eastAsia="宋体" w:cs="宋体"/>
                <w:kern w:val="2"/>
                <w:sz w:val="21"/>
                <w:szCs w:val="21"/>
                <w:lang w:val="en-US" w:eastAsia="zh-CN" w:bidi="ar"/>
              </w:rPr>
              <w:t>2. 提供的货物必须符合国家相关安全、行业标准。</w:t>
            </w:r>
          </w:p>
          <w:p>
            <w:pPr>
              <w:tabs>
                <w:tab w:val="left" w:pos="3287"/>
              </w:tabs>
              <w:jc w:val="left"/>
              <w:rPr>
                <w:rFonts w:hint="eastAsia"/>
                <w:szCs w:val="24"/>
                <w:lang w:val="en-US" w:eastAsia="zh-CN"/>
              </w:rPr>
            </w:pPr>
            <w:r>
              <w:rPr>
                <w:rFonts w:hint="eastAsia" w:ascii="Calibri" w:hAnsi="Calibri" w:eastAsia="宋体" w:cs="宋体"/>
                <w:kern w:val="2"/>
                <w:sz w:val="21"/>
                <w:szCs w:val="21"/>
                <w:lang w:val="en-US" w:eastAsia="zh-CN" w:bidi="ar"/>
              </w:rPr>
              <w:t>3. 报价超过采购控制价，投标无效。</w:t>
            </w:r>
          </w:p>
        </w:tc>
      </w:tr>
      <w:bookmarkEnd w:id="1"/>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ascii="宋体" w:hAnsi="宋体" w:eastAsia="宋体" w:cs="宋体"/>
          <w:i w:val="0"/>
          <w:caps w:val="0"/>
          <w:color w:val="000000"/>
          <w:spacing w:val="0"/>
          <w:sz w:val="28"/>
          <w:szCs w:val="28"/>
          <w:vertAlign w:val="baseline"/>
          <w:lang w:val="en-US"/>
        </w:rPr>
      </w:pPr>
      <w:r>
        <w:rPr>
          <w:rFonts w:hint="eastAsia" w:cs="宋体"/>
          <w:i w:val="0"/>
          <w:caps w:val="0"/>
          <w:color w:val="000000"/>
          <w:spacing w:val="0"/>
          <w:sz w:val="28"/>
          <w:szCs w:val="28"/>
          <w:vertAlign w:val="baseline"/>
          <w:lang w:eastAsia="zh-CN"/>
        </w:rPr>
        <w:t>附件</w:t>
      </w:r>
      <w:r>
        <w:rPr>
          <w:rFonts w:hint="eastAsia" w:cs="宋体"/>
          <w:i w:val="0"/>
          <w:caps w:val="0"/>
          <w:color w:val="000000"/>
          <w:spacing w:val="0"/>
          <w:sz w:val="28"/>
          <w:szCs w:val="28"/>
          <w:vertAlign w:val="baseline"/>
          <w:lang w:val="en-US" w:eastAsia="zh-CN"/>
        </w:rPr>
        <w:t xml:space="preserve">2                                </w:t>
      </w:r>
      <w:r>
        <w:rPr>
          <w:rFonts w:hint="eastAsia" w:ascii="宋体" w:hAnsi="宋体" w:eastAsia="宋体" w:cs="宋体"/>
          <w:i w:val="0"/>
          <w:caps w:val="0"/>
          <w:color w:val="000000"/>
          <w:spacing w:val="0"/>
          <w:sz w:val="28"/>
          <w:szCs w:val="28"/>
          <w:vertAlign w:val="baseline"/>
        </w:rPr>
        <w:t>规格响应表</w:t>
      </w:r>
      <w:bookmarkEnd w:id="0"/>
      <w:r>
        <w:rPr>
          <w:rFonts w:hint="eastAsia" w:cs="宋体"/>
          <w:i w:val="0"/>
          <w:caps w:val="0"/>
          <w:color w:val="000000"/>
          <w:spacing w:val="0"/>
          <w:sz w:val="28"/>
          <w:szCs w:val="28"/>
          <w:vertAlign w:val="baseline"/>
          <w:lang w:val="en-US" w:eastAsia="zh-CN"/>
        </w:rPr>
        <w:t xml:space="preserve"> </w:t>
      </w:r>
    </w:p>
    <w:tbl>
      <w:tblPr>
        <w:tblStyle w:val="10"/>
        <w:tblpPr w:leftFromText="180" w:rightFromText="180" w:vertAnchor="text" w:horzAnchor="page" w:tblpX="683" w:tblpY="246"/>
        <w:tblOverlap w:val="never"/>
        <w:tblW w:w="15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550"/>
        <w:gridCol w:w="9300"/>
        <w:gridCol w:w="2387"/>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0" w:type="dxa"/>
            <w:vAlign w:val="center"/>
          </w:tcPr>
          <w:p>
            <w:pPr>
              <w:spacing w:line="240" w:lineRule="atLeast"/>
              <w:jc w:val="center"/>
              <w:rPr>
                <w:szCs w:val="24"/>
              </w:rPr>
            </w:pPr>
            <w:r>
              <w:rPr>
                <w:rFonts w:hint="eastAsia"/>
                <w:szCs w:val="24"/>
              </w:rPr>
              <w:t>序号</w:t>
            </w:r>
          </w:p>
        </w:tc>
        <w:tc>
          <w:tcPr>
            <w:tcW w:w="1550" w:type="dxa"/>
            <w:vAlign w:val="center"/>
          </w:tcPr>
          <w:p>
            <w:pPr>
              <w:spacing w:line="240" w:lineRule="atLeast"/>
              <w:jc w:val="center"/>
              <w:rPr>
                <w:rFonts w:hint="eastAsia" w:eastAsia="宋体"/>
                <w:szCs w:val="24"/>
                <w:lang w:eastAsia="zh-CN"/>
              </w:rPr>
            </w:pPr>
            <w:r>
              <w:rPr>
                <w:rFonts w:hint="eastAsia"/>
                <w:szCs w:val="24"/>
                <w:lang w:eastAsia="zh-CN"/>
              </w:rPr>
              <w:t>询价项目名称</w:t>
            </w:r>
          </w:p>
        </w:tc>
        <w:tc>
          <w:tcPr>
            <w:tcW w:w="9300" w:type="dxa"/>
            <w:vAlign w:val="center"/>
          </w:tcPr>
          <w:p>
            <w:pPr>
              <w:spacing w:line="240" w:lineRule="atLeast"/>
              <w:jc w:val="center"/>
              <w:rPr>
                <w:szCs w:val="24"/>
              </w:rPr>
            </w:pPr>
            <w:r>
              <w:rPr>
                <w:rFonts w:hint="eastAsia" w:ascii="宋体" w:hAnsi="宋体" w:eastAsia="宋体" w:cs="宋体"/>
                <w:b w:val="0"/>
                <w:i w:val="0"/>
                <w:caps w:val="0"/>
                <w:color w:val="000000"/>
                <w:spacing w:val="0"/>
                <w:sz w:val="24"/>
                <w:szCs w:val="24"/>
              </w:rPr>
              <w:t>询价采购文件规定的规格、参数</w:t>
            </w:r>
          </w:p>
        </w:tc>
        <w:tc>
          <w:tcPr>
            <w:tcW w:w="2387" w:type="dxa"/>
            <w:vAlign w:val="center"/>
          </w:tcPr>
          <w:p>
            <w:pPr>
              <w:spacing w:line="240" w:lineRule="atLeast"/>
              <w:jc w:val="center"/>
              <w:rPr>
                <w:rFonts w:hint="eastAsia" w:eastAsia="宋体"/>
                <w:szCs w:val="24"/>
                <w:lang w:eastAsia="zh-CN"/>
              </w:rPr>
            </w:pPr>
            <w:r>
              <w:rPr>
                <w:rFonts w:hint="eastAsia" w:ascii="宋体" w:hAnsi="宋体" w:eastAsia="宋体" w:cs="宋体"/>
                <w:b w:val="0"/>
                <w:i w:val="0"/>
                <w:caps w:val="0"/>
                <w:color w:val="000000"/>
                <w:spacing w:val="0"/>
                <w:sz w:val="24"/>
                <w:szCs w:val="24"/>
              </w:rPr>
              <w:t>供应商所投产品的规格、参数</w:t>
            </w:r>
          </w:p>
        </w:tc>
        <w:tc>
          <w:tcPr>
            <w:tcW w:w="2098" w:type="dxa"/>
            <w:vAlign w:val="center"/>
          </w:tcPr>
          <w:p>
            <w:pPr>
              <w:spacing w:line="240" w:lineRule="atLeast"/>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rPr>
              <w:t>响应情况</w:t>
            </w:r>
          </w:p>
          <w:p>
            <w:pPr>
              <w:spacing w:line="240" w:lineRule="atLeast"/>
              <w:jc w:val="center"/>
              <w:rPr>
                <w:rFonts w:hint="eastAsia" w:eastAsia="宋体"/>
                <w:szCs w:val="24"/>
                <w:lang w:eastAsia="zh-CN"/>
              </w:rPr>
            </w:pPr>
            <w:r>
              <w:rPr>
                <w:rFonts w:hint="eastAsia"/>
                <w:szCs w:val="24"/>
                <w:lang w:eastAsia="zh-CN"/>
              </w:rPr>
              <w:t>（正偏离、无偏离、负偏离）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1" w:hRule="atLeast"/>
        </w:trPr>
        <w:tc>
          <w:tcPr>
            <w:tcW w:w="490" w:type="dxa"/>
            <w:shd w:val="clear" w:color="auto" w:fill="auto"/>
            <w:vAlign w:val="center"/>
          </w:tcPr>
          <w:p>
            <w:pPr>
              <w:spacing w:line="240" w:lineRule="atLeast"/>
              <w:jc w:val="both"/>
              <w:rPr>
                <w:szCs w:val="24"/>
              </w:rPr>
            </w:pPr>
            <w:r>
              <w:rPr>
                <w:rFonts w:hint="eastAsia"/>
                <w:szCs w:val="24"/>
              </w:rPr>
              <w:t>1</w:t>
            </w:r>
          </w:p>
        </w:tc>
        <w:tc>
          <w:tcPr>
            <w:tcW w:w="1550" w:type="dxa"/>
            <w:shd w:val="clear" w:color="auto" w:fill="FFFFFF"/>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人员特写摄像机</w:t>
            </w:r>
          </w:p>
        </w:tc>
        <w:tc>
          <w:tcPr>
            <w:tcW w:w="9300" w:type="dxa"/>
            <w:vAlign w:val="center"/>
          </w:tcPr>
          <w:p>
            <w:pPr>
              <w:spacing w:line="240" w:lineRule="auto"/>
              <w:jc w:val="left"/>
              <w:rPr>
                <w:rFonts w:hint="eastAsia" w:ascii="宋体" w:hAnsi="宋体"/>
                <w:sz w:val="21"/>
                <w:szCs w:val="21"/>
                <w:lang w:val="en-US" w:eastAsia="zh-CN"/>
              </w:rPr>
            </w:pPr>
            <w:r>
              <w:rPr>
                <w:rFonts w:hint="eastAsia" w:ascii="宋体" w:hAnsi="宋体" w:cs="宋体"/>
                <w:color w:val="000000"/>
                <w:szCs w:val="21"/>
              </w:rPr>
              <w:t>模型成年人左/右手臂，形态逼真，触感真实，肤质仿真度高；可练习习切开术，缝合术、包扎术行外科切开、缝合、打结、包扎、拆线等基本技能训练；皮肤分层明显，切开皮肤以后可暴露红色的肌肉组织；可反复进行练习。</w:t>
            </w: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1" w:hRule="atLeast"/>
        </w:trPr>
        <w:tc>
          <w:tcPr>
            <w:tcW w:w="490" w:type="dxa"/>
            <w:shd w:val="clear" w:color="auto" w:fill="auto"/>
            <w:vAlign w:val="center"/>
          </w:tcPr>
          <w:p>
            <w:pPr>
              <w:spacing w:line="240" w:lineRule="atLeast"/>
              <w:jc w:val="both"/>
              <w:rPr>
                <w:rFonts w:hint="eastAsia" w:eastAsiaTheme="minorEastAsia"/>
                <w:szCs w:val="24"/>
                <w:lang w:val="en-US" w:eastAsia="zh-CN"/>
              </w:rPr>
            </w:pPr>
            <w:r>
              <w:rPr>
                <w:rFonts w:hint="eastAsia"/>
                <w:szCs w:val="24"/>
                <w:lang w:val="en-US" w:eastAsia="zh-CN"/>
              </w:rPr>
              <w:t>2</w:t>
            </w:r>
          </w:p>
        </w:tc>
        <w:tc>
          <w:tcPr>
            <w:tcW w:w="1550" w:type="dxa"/>
            <w:shd w:val="clear" w:color="auto" w:fill="FFFFFF"/>
            <w:vAlign w:val="center"/>
          </w:tcPr>
          <w:p>
            <w:pPr>
              <w:keepNext w:val="0"/>
              <w:keepLines w:val="0"/>
              <w:widowControl/>
              <w:suppressLineNumbers w:val="0"/>
              <w:jc w:val="center"/>
              <w:textAlignment w:val="center"/>
              <w:rPr>
                <w:szCs w:val="24"/>
              </w:rPr>
            </w:pPr>
            <w:r>
              <w:rPr>
                <w:rFonts w:hint="eastAsia" w:ascii="宋体" w:hAnsi="宋体" w:eastAsia="宋体" w:cs="宋体"/>
                <w:i w:val="0"/>
                <w:color w:val="000000"/>
                <w:kern w:val="0"/>
                <w:sz w:val="20"/>
                <w:szCs w:val="20"/>
                <w:u w:val="none"/>
                <w:lang w:val="en-US" w:eastAsia="zh-CN" w:bidi="ar"/>
              </w:rPr>
              <w:t>全景摄像机</w:t>
            </w:r>
          </w:p>
        </w:tc>
        <w:tc>
          <w:tcPr>
            <w:tcW w:w="9300" w:type="dxa"/>
            <w:vAlign w:val="center"/>
          </w:tcPr>
          <w:p>
            <w:pPr>
              <w:spacing w:line="240" w:lineRule="exact"/>
              <w:jc w:val="left"/>
              <w:rPr>
                <w:rFonts w:hint="eastAsia" w:ascii="Times New Roman" w:hAnsi="Times New Roman"/>
                <w:szCs w:val="21"/>
                <w:vertAlign w:val="superscript"/>
                <w:lang w:val="en-US" w:eastAsia="zh-CN"/>
              </w:rPr>
            </w:pPr>
            <w:r>
              <w:rPr>
                <w:rFonts w:hint="eastAsia" w:ascii="宋体" w:hAnsi="宋体" w:cs="宋体"/>
                <w:color w:val="000000"/>
                <w:szCs w:val="21"/>
              </w:rPr>
              <w:t>成年男性上半身，解剖标志明显(肋弓、剑突)；可行仰头举颏法、仰头抬颈法、双手抬颌法三种方法打开气道并可用呼吸面罩进行通气；颈动动脉搏动；有按压深度提示；按压压时可见心脏血液流向头部(指示灯显示)；吹气时可见气体流向肺部；有按压频率引导音,便于初学者引导练习；急救成功后,可见全身血液循环恢复；模型可内置锂电池,采用USB插口充电,超长续航,可连续工作60小时；配有专用轻便提拉软包。</w:t>
            </w: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eastAsiaTheme="minorEastAsia"/>
                <w:szCs w:val="24"/>
                <w:lang w:val="en-US" w:eastAsia="zh-CN"/>
              </w:rPr>
            </w:pPr>
            <w:r>
              <w:rPr>
                <w:rFonts w:hint="eastAsia"/>
                <w:szCs w:val="24"/>
                <w:lang w:val="en-US" w:eastAsia="zh-CN"/>
              </w:rPr>
              <w:t>3</w:t>
            </w:r>
          </w:p>
        </w:tc>
        <w:tc>
          <w:tcPr>
            <w:tcW w:w="1550" w:type="dxa"/>
            <w:shd w:val="clear" w:color="auto" w:fill="FFFFFF"/>
            <w:vAlign w:val="center"/>
          </w:tcPr>
          <w:p>
            <w:pPr>
              <w:keepNext w:val="0"/>
              <w:keepLines w:val="0"/>
              <w:widowControl/>
              <w:suppressLineNumbers w:val="0"/>
              <w:jc w:val="center"/>
              <w:textAlignment w:val="center"/>
              <w:rPr>
                <w:rFonts w:hint="eastAsia"/>
                <w:b/>
                <w:bCs/>
                <w:szCs w:val="21"/>
              </w:rPr>
            </w:pPr>
            <w:r>
              <w:rPr>
                <w:rFonts w:hint="eastAsia" w:ascii="宋体" w:hAnsi="宋体" w:eastAsia="宋体" w:cs="宋体"/>
                <w:i w:val="0"/>
                <w:color w:val="000000"/>
                <w:kern w:val="0"/>
                <w:sz w:val="20"/>
                <w:szCs w:val="20"/>
                <w:u w:val="none"/>
                <w:lang w:val="en-US" w:eastAsia="zh-CN" w:bidi="ar"/>
              </w:rPr>
              <w:t>全景半球支架</w:t>
            </w:r>
          </w:p>
        </w:tc>
        <w:tc>
          <w:tcPr>
            <w:tcW w:w="9300" w:type="dxa"/>
            <w:vAlign w:val="center"/>
          </w:tcPr>
          <w:p>
            <w:pPr>
              <w:widowControl/>
              <w:jc w:val="left"/>
              <w:textAlignment w:val="top"/>
              <w:rPr>
                <w:rFonts w:hint="eastAsia" w:ascii="宋体" w:hAnsi="宋体" w:cs="宋体"/>
                <w:color w:val="000000"/>
                <w:szCs w:val="21"/>
              </w:rPr>
            </w:pPr>
            <w:r>
              <w:rPr>
                <w:rFonts w:hint="eastAsia" w:ascii="宋体" w:hAnsi="宋体" w:cs="宋体"/>
                <w:color w:val="000000"/>
                <w:szCs w:val="21"/>
              </w:rPr>
              <w:t>可洗头发、洗脸；瞳孔观察,正常、散大、缩小直观对比；耳清洗滴药；口臀部肌内注射；口腔护理、假牙护理；口鼻气管插管时,支持听诊检测插管位置；气管切开护理；氧气吸入法；吸痰法；手臂静脉穿刺、注射、输液(血)；灌肠法。四肢关节逼真，模拟关节僵硬，躯干部可前倾，可坐轮椅；三角肌皮下注射；股外侧肌内注射等；躯干-旋转，曲伸；颈部一旋转，曲伸，侧弯；肩部和臀部一内收，外展，旋转，曲伸；肘部一旋内，旋外膝部一旋内，旋外；腕部一旋内，曲伸，伸展,弯曲；踝部一内翻，外翻，内收，外展。</w:t>
            </w:r>
          </w:p>
          <w:p>
            <w:pPr>
              <w:widowControl/>
              <w:jc w:val="left"/>
              <w:textAlignment w:val="top"/>
              <w:rPr>
                <w:rFonts w:hint="eastAsia" w:ascii="宋体" w:hAnsi="宋体" w:cs="宋体"/>
                <w:color w:val="000000"/>
                <w:szCs w:val="21"/>
              </w:rPr>
            </w:pPr>
            <w:r>
              <w:rPr>
                <w:rFonts w:hint="eastAsia" w:ascii="宋体" w:hAnsi="宋体" w:cs="宋体"/>
                <w:color w:val="000000"/>
                <w:szCs w:val="21"/>
              </w:rPr>
              <w:t>男/女性导尿术</w:t>
            </w:r>
            <w:r>
              <w:rPr>
                <w:rFonts w:hint="eastAsia" w:ascii="宋体" w:hAnsi="宋体" w:cs="宋体"/>
                <w:color w:val="000000"/>
                <w:szCs w:val="21"/>
                <w:lang w:eastAsia="zh-CN"/>
              </w:rPr>
              <w:t>、</w:t>
            </w:r>
            <w:r>
              <w:rPr>
                <w:rFonts w:hint="eastAsia" w:ascii="宋体" w:hAnsi="宋体" w:cs="宋体"/>
                <w:color w:val="000000"/>
                <w:szCs w:val="21"/>
              </w:rPr>
              <w:t>男/女性膀胱冲洗</w:t>
            </w:r>
            <w:r>
              <w:rPr>
                <w:rFonts w:hint="eastAsia" w:ascii="宋体" w:hAnsi="宋体" w:cs="宋体"/>
                <w:color w:val="000000"/>
                <w:szCs w:val="21"/>
              </w:rPr>
              <w:br w:type="textWrapping"/>
            </w:r>
            <w:r>
              <w:rPr>
                <w:rFonts w:hint="eastAsia" w:ascii="宋体" w:hAnsi="宋体" w:cs="宋体"/>
                <w:color w:val="000000"/>
                <w:szCs w:val="21"/>
              </w:rPr>
              <w:t>造瘘引流术</w:t>
            </w:r>
            <w:r>
              <w:rPr>
                <w:rFonts w:hint="eastAsia" w:ascii="宋体" w:hAnsi="宋体" w:cs="宋体"/>
                <w:color w:val="000000"/>
                <w:szCs w:val="21"/>
                <w:lang w:eastAsia="zh-CN"/>
              </w:rPr>
              <w:t>、</w:t>
            </w:r>
            <w:r>
              <w:rPr>
                <w:rFonts w:hint="eastAsia" w:ascii="宋体" w:hAnsi="宋体" w:cs="宋体"/>
                <w:color w:val="000000"/>
                <w:szCs w:val="21"/>
              </w:rPr>
              <w:t>结肠造瘘术</w:t>
            </w:r>
            <w:r>
              <w:rPr>
                <w:rFonts w:hint="eastAsia" w:ascii="宋体" w:hAnsi="宋体" w:cs="宋体"/>
                <w:color w:val="000000"/>
                <w:szCs w:val="21"/>
              </w:rPr>
              <w:br w:type="textWrapping"/>
            </w:r>
            <w:r>
              <w:rPr>
                <w:rFonts w:hint="eastAsia" w:ascii="宋体" w:hAnsi="宋体" w:cs="宋体"/>
                <w:color w:val="000000"/>
                <w:szCs w:val="21"/>
              </w:rPr>
              <w:t>臀部肌肉注射</w:t>
            </w:r>
            <w:r>
              <w:rPr>
                <w:rFonts w:hint="eastAsia" w:ascii="宋体" w:hAnsi="宋体" w:cs="宋体"/>
                <w:color w:val="000000"/>
                <w:szCs w:val="21"/>
                <w:lang w:eastAsia="zh-CN"/>
              </w:rPr>
              <w:t>、</w:t>
            </w:r>
            <w:r>
              <w:rPr>
                <w:rFonts w:hint="eastAsia" w:ascii="宋体" w:hAnsi="宋体" w:cs="宋体"/>
                <w:color w:val="000000"/>
                <w:szCs w:val="21"/>
              </w:rPr>
              <w:t>大面积骶骨位置溃烂</w:t>
            </w:r>
            <w:r>
              <w:rPr>
                <w:rFonts w:hint="eastAsia" w:ascii="宋体" w:hAnsi="宋体" w:cs="宋体"/>
                <w:color w:val="000000"/>
                <w:szCs w:val="21"/>
              </w:rPr>
              <w:br w:type="textWrapping"/>
            </w:r>
            <w:r>
              <w:rPr>
                <w:rFonts w:hint="eastAsia" w:ascii="宋体" w:hAnsi="宋体" w:cs="宋体"/>
                <w:color w:val="000000"/>
                <w:szCs w:val="21"/>
              </w:rPr>
              <w:t>癌症肿块的对比</w:t>
            </w:r>
            <w:r>
              <w:rPr>
                <w:rFonts w:hint="eastAsia" w:ascii="宋体" w:hAnsi="宋体" w:cs="宋体"/>
                <w:color w:val="000000"/>
                <w:szCs w:val="21"/>
                <w:lang w:eastAsia="zh-CN"/>
              </w:rPr>
              <w:t>、</w:t>
            </w:r>
            <w:r>
              <w:rPr>
                <w:rFonts w:hint="eastAsia" w:ascii="宋体" w:hAnsi="宋体" w:cs="宋体"/>
                <w:color w:val="000000"/>
                <w:szCs w:val="21"/>
              </w:rPr>
              <w:t>皮摺对比</w:t>
            </w:r>
          </w:p>
          <w:p>
            <w:pPr>
              <w:widowControl/>
              <w:jc w:val="left"/>
              <w:textAlignment w:val="top"/>
              <w:rPr>
                <w:rFonts w:hint="eastAsia" w:ascii="Times New Roman" w:hAnsi="Times New Roman" w:eastAsia="宋体" w:cs="宋体"/>
                <w:kern w:val="2"/>
                <w:sz w:val="21"/>
                <w:szCs w:val="21"/>
                <w:lang w:val="en-US" w:eastAsia="zh-CN" w:bidi="ar"/>
              </w:rPr>
            </w:pPr>
            <w:r>
              <w:rPr>
                <w:rFonts w:hint="eastAsia" w:ascii="宋体" w:hAnsi="宋体" w:cs="宋体"/>
                <w:color w:val="000000"/>
                <w:szCs w:val="21"/>
              </w:rPr>
              <w:t>胸腔、骨髓、腰椎穿刺</w:t>
            </w:r>
            <w:r>
              <w:rPr>
                <w:rFonts w:hint="eastAsia" w:ascii="宋体" w:hAnsi="宋体" w:cs="宋体"/>
                <w:color w:val="000000"/>
                <w:szCs w:val="21"/>
                <w:lang w:eastAsia="zh-CN"/>
              </w:rPr>
              <w:t>、</w:t>
            </w:r>
            <w:r>
              <w:rPr>
                <w:rFonts w:hint="eastAsia" w:ascii="宋体" w:hAnsi="宋体" w:cs="宋体"/>
                <w:color w:val="000000"/>
                <w:szCs w:val="21"/>
              </w:rPr>
              <w:t>无创血压测量：</w:t>
            </w:r>
            <w:r>
              <w:rPr>
                <w:rFonts w:hint="eastAsia" w:ascii="宋体" w:hAnsi="宋体" w:cs="宋体"/>
                <w:color w:val="000000"/>
                <w:szCs w:val="21"/>
              </w:rPr>
              <w:br w:type="textWrapping"/>
            </w:r>
            <w:r>
              <w:rPr>
                <w:rFonts w:hint="eastAsia" w:ascii="宋体" w:hAnsi="宋体" w:cs="宋体"/>
                <w:color w:val="000000"/>
                <w:szCs w:val="21"/>
              </w:rPr>
              <w:t>收缩压和舒张压可单独放置，每次为1mmHg</w:t>
            </w:r>
            <w:r>
              <w:rPr>
                <w:rFonts w:hint="eastAsia" w:ascii="宋体" w:hAnsi="宋体" w:cs="宋体"/>
                <w:color w:val="000000"/>
                <w:szCs w:val="21"/>
              </w:rPr>
              <w:br w:type="textWrapping"/>
            </w:r>
            <w:r>
              <w:rPr>
                <w:rFonts w:hint="eastAsia" w:ascii="宋体" w:hAnsi="宋体" w:cs="宋体"/>
                <w:color w:val="000000"/>
                <w:szCs w:val="21"/>
              </w:rPr>
              <w:t>收缩压0-300mmHg，舒张压0-300mmHg</w:t>
            </w:r>
            <w:r>
              <w:rPr>
                <w:rFonts w:hint="eastAsia" w:ascii="宋体" w:hAnsi="宋体" w:cs="宋体"/>
                <w:color w:val="000000"/>
                <w:szCs w:val="21"/>
              </w:rPr>
              <w:br w:type="textWrapping"/>
            </w:r>
            <w:r>
              <w:rPr>
                <w:rFonts w:hint="eastAsia" w:ascii="宋体" w:hAnsi="宋体" w:cs="宋体"/>
                <w:color w:val="000000"/>
                <w:szCs w:val="21"/>
              </w:rPr>
              <w:t>科罗特科夫音量可从0-9进行调节</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widowControl/>
              <w:spacing w:line="240" w:lineRule="atLeast"/>
              <w:jc w:val="left"/>
              <w:textAlignment w:val="center"/>
              <w:rPr>
                <w:rFonts w:hint="eastAsia"/>
                <w:b/>
                <w:bCs/>
                <w:szCs w:val="21"/>
              </w:rPr>
            </w:pPr>
            <w:r>
              <w:rPr>
                <w:rFonts w:hint="eastAsia"/>
                <w:b/>
                <w:bCs/>
                <w:szCs w:val="21"/>
              </w:rPr>
              <w:t>售后服务</w:t>
            </w:r>
          </w:p>
        </w:tc>
        <w:tc>
          <w:tcPr>
            <w:tcW w:w="9300" w:type="dxa"/>
            <w:vAlign w:val="top"/>
          </w:tcPr>
          <w:p>
            <w:pPr>
              <w:numPr>
                <w:ilvl w:val="0"/>
                <w:numId w:val="0"/>
              </w:numPr>
              <w:ind w:leftChars="0"/>
              <w:rPr>
                <w:rFonts w:hint="eastAsia" w:ascii="Times New Roman" w:hAnsi="Times New Roman"/>
                <w:sz w:val="21"/>
                <w:szCs w:val="21"/>
                <w:lang w:eastAsia="zh-CN"/>
              </w:rPr>
            </w:pPr>
            <w:r>
              <w:rPr>
                <w:rFonts w:hint="eastAsia" w:ascii="Times New Roman" w:hAnsi="Times New Roman" w:eastAsia="宋体" w:cs="宋体"/>
                <w:kern w:val="2"/>
                <w:sz w:val="21"/>
                <w:szCs w:val="21"/>
                <w:lang w:val="en-US" w:eastAsia="zh-CN" w:bidi="ar"/>
              </w:rPr>
              <w:t>1</w:t>
            </w:r>
            <w:r>
              <w:rPr>
                <w:rFonts w:hint="eastAsia" w:ascii="宋体" w:hAnsi="宋体" w:eastAsia="宋体" w:cs="宋体"/>
                <w:kern w:val="2"/>
                <w:sz w:val="21"/>
                <w:szCs w:val="21"/>
                <w:lang w:val="en-US" w:eastAsia="zh-CN" w:bidi="ar"/>
              </w:rPr>
              <w:t>.免费提供上门安装和培训服务，</w:t>
            </w:r>
            <w:r>
              <w:rPr>
                <w:rFonts w:hint="eastAsia" w:ascii="Calibri" w:hAnsi="Calibri" w:eastAsia="宋体" w:cs="宋体"/>
                <w:kern w:val="2"/>
                <w:sz w:val="21"/>
                <w:szCs w:val="21"/>
                <w:lang w:val="en-US" w:eastAsia="zh-CN" w:bidi="ar"/>
              </w:rPr>
              <w:t>2</w:t>
            </w:r>
            <w:r>
              <w:rPr>
                <w:rFonts w:hint="eastAsia" w:ascii="宋体" w:hAnsi="宋体" w:eastAsia="宋体" w:cs="宋体"/>
                <w:kern w:val="2"/>
                <w:sz w:val="21"/>
                <w:szCs w:val="21"/>
                <w:lang w:val="en-US" w:eastAsia="zh-CN" w:bidi="ar"/>
              </w:rPr>
              <w:t>.</w:t>
            </w:r>
            <w:r>
              <w:rPr>
                <w:rFonts w:hint="eastAsia"/>
              </w:rPr>
              <w:t>保质期</w:t>
            </w:r>
            <w:r>
              <w:rPr>
                <w:rFonts w:hint="eastAsia"/>
                <w:lang w:val="en-US" w:eastAsia="zh-CN"/>
              </w:rPr>
              <w:t>2</w:t>
            </w:r>
            <w:r>
              <w:rPr>
                <w:rFonts w:hint="eastAsia"/>
              </w:rPr>
              <w:t>年，在保质期内供应商免费上门定期维护、保养、维修，损坏及时更换。</w:t>
            </w:r>
            <w:r>
              <w:rPr>
                <w:rFonts w:hint="eastAsia" w:ascii="Calibri" w:hAnsi="Calibri" w:eastAsia="宋体" w:cs="宋体"/>
                <w:kern w:val="2"/>
                <w:sz w:val="21"/>
                <w:szCs w:val="21"/>
                <w:lang w:val="en-US" w:eastAsia="zh-CN" w:bidi="ar"/>
              </w:rPr>
              <w:t>3</w:t>
            </w:r>
            <w:r>
              <w:rPr>
                <w:rFonts w:hint="eastAsia" w:eastAsia="宋体" w:cs="宋体"/>
                <w:kern w:val="2"/>
                <w:sz w:val="21"/>
                <w:szCs w:val="21"/>
                <w:lang w:val="en-US" w:eastAsia="zh-CN" w:bidi="ar"/>
              </w:rPr>
              <w:t>.</w:t>
            </w:r>
            <w:r>
              <w:rPr>
                <w:rFonts w:hint="eastAsia" w:ascii="宋体" w:hAnsi="宋体" w:eastAsia="宋体" w:cs="宋体"/>
                <w:kern w:val="2"/>
                <w:sz w:val="21"/>
                <w:szCs w:val="21"/>
                <w:lang w:val="en-US" w:eastAsia="zh-CN" w:bidi="ar"/>
              </w:rPr>
              <w:t>供货时间：合同签订之日起10日内。</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widowControl/>
              <w:spacing w:line="240" w:lineRule="atLeast"/>
              <w:jc w:val="left"/>
              <w:textAlignment w:val="center"/>
              <w:rPr>
                <w:rFonts w:hint="eastAsia"/>
                <w:b/>
                <w:bCs/>
                <w:szCs w:val="21"/>
              </w:rPr>
            </w:pPr>
            <w:r>
              <w:rPr>
                <w:rFonts w:hint="eastAsia"/>
                <w:b/>
                <w:bCs/>
                <w:szCs w:val="21"/>
                <w:lang w:eastAsia="zh-CN"/>
              </w:rPr>
              <w:t>付款方式说明</w:t>
            </w:r>
          </w:p>
        </w:tc>
        <w:tc>
          <w:tcPr>
            <w:tcW w:w="9300" w:type="dxa"/>
            <w:vAlign w:val="top"/>
          </w:tcPr>
          <w:p>
            <w:pPr>
              <w:pStyle w:val="16"/>
              <w:tabs>
                <w:tab w:val="left" w:pos="3438"/>
              </w:tabs>
              <w:adjustRightInd w:val="0"/>
              <w:snapToGrid w:val="0"/>
              <w:spacing w:line="400" w:lineRule="exact"/>
              <w:outlineLvl w:val="9"/>
              <w:rPr>
                <w:rFonts w:hint="eastAsia" w:ascii="宋体" w:hAnsi="宋体" w:eastAsia="宋体" w:cs="宋体"/>
                <w:kern w:val="2"/>
                <w:sz w:val="21"/>
                <w:szCs w:val="21"/>
                <w:lang w:val="en-US" w:eastAsia="zh-CN" w:bidi="ar"/>
              </w:rPr>
            </w:pPr>
            <w:r>
              <w:rPr>
                <w:rFonts w:hint="eastAsia" w:hAnsi="宋体" w:eastAsia="宋体" w:cs="宋体"/>
                <w:b/>
                <w:bCs/>
                <w:color w:val="000000"/>
                <w:kern w:val="2"/>
                <w:sz w:val="24"/>
                <w:szCs w:val="24"/>
                <w:lang w:val="en-US" w:eastAsia="zh-CN" w:bidi="ar"/>
              </w:rPr>
              <w:t>合同货款：</w:t>
            </w:r>
            <w:r>
              <w:rPr>
                <w:rFonts w:hint="eastAsia" w:ascii="宋体" w:hAnsi="宋体" w:eastAsia="宋体" w:cs="宋体"/>
                <w:color w:val="000000"/>
                <w:kern w:val="2"/>
                <w:sz w:val="24"/>
                <w:szCs w:val="24"/>
                <w:lang w:val="en-US" w:eastAsia="zh-CN" w:bidi="ar"/>
              </w:rPr>
              <w:t>送</w:t>
            </w:r>
            <w:r>
              <w:rPr>
                <w:rFonts w:hint="eastAsia" w:ascii="宋体" w:hAnsi="宋体" w:eastAsia="宋体" w:cs="宋体"/>
                <w:kern w:val="2"/>
                <w:sz w:val="21"/>
                <w:szCs w:val="21"/>
                <w:lang w:val="en-US" w:eastAsia="zh-CN" w:bidi="ar"/>
              </w:rPr>
              <w:t>货并安装完毕及验收合格后，中标人须向采购人提供全额正规含税发票，采购人通过银行转账方式付清全款。</w:t>
            </w:r>
          </w:p>
          <w:p>
            <w:pPr>
              <w:numPr>
                <w:ilvl w:val="0"/>
                <w:numId w:val="0"/>
              </w:numPr>
              <w:rPr>
                <w:rFonts w:hint="eastAsia" w:ascii="宋体" w:hAnsi="宋体" w:eastAsia="宋体" w:cs="宋体"/>
                <w:kern w:val="2"/>
                <w:sz w:val="21"/>
                <w:szCs w:val="21"/>
                <w:lang w:val="en-US" w:eastAsia="zh-CN" w:bidi="ar"/>
              </w:rPr>
            </w:pPr>
            <w:r>
              <w:rPr>
                <w:rFonts w:hint="eastAsia" w:ascii="宋体" w:hAnsi="宋体" w:eastAsia="宋体" w:cs="宋体"/>
                <w:b/>
                <w:color w:val="000000"/>
                <w:kern w:val="2"/>
                <w:sz w:val="24"/>
                <w:szCs w:val="24"/>
                <w:lang w:val="en-US" w:eastAsia="zh-CN" w:bidi="ar"/>
              </w:rPr>
              <w:t>履约保证金：</w:t>
            </w:r>
            <w:r>
              <w:rPr>
                <w:rFonts w:hint="eastAsia" w:ascii="宋体" w:hAnsi="宋体" w:eastAsia="宋体" w:cs="宋体"/>
                <w:kern w:val="2"/>
                <w:sz w:val="21"/>
                <w:szCs w:val="21"/>
                <w:lang w:val="en-US" w:eastAsia="zh-CN" w:bidi="ar"/>
              </w:rPr>
              <w:t>是否收取履约保证金：是。履约保证金百分比：5%。说明：中标人在签订政府采购合同三日前应向采购人缴纳合同总金额5%的履约保证金，该履约保证金于设备验收合格后自动转为质量保证金；验收合格之日起至免费质保期满，中标人无违约行为且设备无质量问题，中标人向采购人提交退还质量保证金申请报告及收据后，采购人于30日内无息对公转账至合同标明的中标人银行账户。履约保证金缴交方式：银行转账,户名：福建卫生职业技术学院,账号：35001896307050001329.开户行：中国建设银行股份有限公司福州鼓楼支行。</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bl>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《规格响应表》填写须知：</w:t>
      </w:r>
    </w:p>
    <w:p>
      <w:pPr>
        <w:spacing w:line="240" w:lineRule="atLeast"/>
        <w:ind w:firstLine="480" w:firstLineChars="20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1、供货商必须将自己所投产品或服务真实、准确填写“</w:t>
      </w:r>
      <w:r>
        <w:rPr>
          <w:rFonts w:hint="eastAsia" w:ascii="宋体" w:hAnsi="宋体" w:eastAsia="宋体" w:cs="宋体"/>
          <w:b w:val="0"/>
          <w:i w:val="0"/>
          <w:caps w:val="0"/>
          <w:color w:val="000000"/>
          <w:spacing w:val="0"/>
          <w:sz w:val="24"/>
          <w:szCs w:val="24"/>
        </w:rPr>
        <w:t>供应商所投产品的规格、参数</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rPr>
        <w:t>响应情况</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w:t>
      </w:r>
    </w:p>
    <w:p>
      <w:pPr>
        <w:spacing w:line="240" w:lineRule="atLeast"/>
        <w:ind w:firstLine="480" w:firstLineChars="200"/>
        <w:jc w:val="left"/>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pPr>
      <w:r>
        <w:rPr>
          <w:rFonts w:hint="eastAsia" w:ascii="宋体" w:hAnsi="宋体" w:eastAsia="宋体" w:cs="宋体"/>
          <w:b w:val="0"/>
          <w:i w:val="0"/>
          <w:caps w:val="0"/>
          <w:color w:val="000000"/>
          <w:spacing w:val="0"/>
          <w:sz w:val="24"/>
          <w:szCs w:val="24"/>
          <w:lang w:val="en-US" w:eastAsia="zh-CN"/>
        </w:rPr>
        <w:t>2、根据自己所投产品与“</w:t>
      </w:r>
      <w:r>
        <w:rPr>
          <w:rFonts w:hint="eastAsia" w:ascii="宋体" w:hAnsi="宋体" w:eastAsia="宋体" w:cs="宋体"/>
          <w:b w:val="0"/>
          <w:i w:val="0"/>
          <w:caps w:val="0"/>
          <w:color w:val="000000"/>
          <w:spacing w:val="0"/>
          <w:sz w:val="24"/>
          <w:szCs w:val="24"/>
        </w:rPr>
        <w:t>询价采购文件规定的规格、参数</w:t>
      </w:r>
      <w:r>
        <w:rPr>
          <w:rFonts w:hint="eastAsia" w:ascii="宋体" w:hAnsi="宋体" w:eastAsia="宋体" w:cs="宋体"/>
          <w:b w:val="0"/>
          <w:i w:val="0"/>
          <w:caps w:val="0"/>
          <w:color w:val="000000"/>
          <w:spacing w:val="0"/>
          <w:sz w:val="24"/>
          <w:szCs w:val="24"/>
          <w:lang w:val="en-US" w:eastAsia="zh-CN"/>
        </w:rPr>
        <w:t>”的差异情况，实事求是地填写“响应情况”（</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），并</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将这些差异内容用加粗的字体显示出来，</w:t>
      </w:r>
      <w:r>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t>任何规格参数出现负偏离则视为无效投标。</w:t>
      </w: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3、供应商必须填写售后服务及售后服务响应情况；付款方式说明为告知内容可不填写。</w:t>
      </w: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adjustRightInd w:val="0"/>
        <w:snapToGrid w:val="0"/>
        <w:spacing w:line="300" w:lineRule="auto"/>
        <w:jc w:val="left"/>
        <w:outlineLvl w:val="0"/>
        <w:rPr>
          <w:rFonts w:hint="eastAsia"/>
          <w:b/>
          <w:bCs/>
          <w:color w:val="auto"/>
          <w:sz w:val="28"/>
          <w:szCs w:val="28"/>
        </w:rPr>
      </w:pPr>
      <w:r>
        <w:rPr>
          <w:rFonts w:hint="eastAsia"/>
          <w:b/>
          <w:bCs/>
          <w:color w:val="auto"/>
          <w:sz w:val="28"/>
          <w:szCs w:val="28"/>
          <w:lang w:eastAsia="zh-CN"/>
        </w:rPr>
        <w:t>附件</w:t>
      </w:r>
      <w:r>
        <w:rPr>
          <w:rFonts w:hint="eastAsia"/>
          <w:b/>
          <w:bCs/>
          <w:color w:val="auto"/>
          <w:sz w:val="28"/>
          <w:szCs w:val="28"/>
          <w:lang w:val="en-US" w:eastAsia="zh-CN"/>
        </w:rPr>
        <w:t xml:space="preserve">3                                     </w:t>
      </w:r>
      <w:r>
        <w:rPr>
          <w:rFonts w:hint="eastAsia"/>
          <w:b/>
          <w:bCs/>
          <w:color w:val="auto"/>
          <w:sz w:val="28"/>
          <w:szCs w:val="28"/>
        </w:rPr>
        <w:t>报价一览表</w:t>
      </w:r>
    </w:p>
    <w:tbl>
      <w:tblPr>
        <w:tblStyle w:val="10"/>
        <w:tblpPr w:leftFromText="180" w:rightFromText="180" w:vertAnchor="text" w:horzAnchor="page" w:tblpX="2503" w:tblpY="310"/>
        <w:tblOverlap w:val="never"/>
        <w:tblW w:w="119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227"/>
        <w:gridCol w:w="4749"/>
        <w:gridCol w:w="1159"/>
        <w:gridCol w:w="1406"/>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9" w:hRule="atLeast"/>
          <w:jc w:val="center"/>
        </w:trPr>
        <w:tc>
          <w:tcPr>
            <w:tcW w:w="69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序号</w:t>
            </w:r>
          </w:p>
        </w:tc>
        <w:tc>
          <w:tcPr>
            <w:tcW w:w="2227"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询价项目名称</w:t>
            </w:r>
          </w:p>
        </w:tc>
        <w:tc>
          <w:tcPr>
            <w:tcW w:w="4749" w:type="dxa"/>
            <w:vAlign w:val="center"/>
          </w:tcPr>
          <w:p>
            <w:pPr>
              <w:widowControl/>
              <w:spacing w:before="180" w:line="345" w:lineRule="atLeast"/>
              <w:jc w:val="center"/>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报价货物品牌、型号</w:t>
            </w: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数量</w:t>
            </w:r>
          </w:p>
        </w:tc>
        <w:tc>
          <w:tcPr>
            <w:tcW w:w="1406"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采购控制价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投标人报价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1</w:t>
            </w:r>
          </w:p>
        </w:tc>
        <w:tc>
          <w:tcPr>
            <w:tcW w:w="2227" w:type="dxa"/>
            <w:shd w:val="clear" w:color="auto" w:fill="FFFFFF"/>
            <w:vAlign w:val="center"/>
          </w:tcPr>
          <w:p>
            <w:pPr>
              <w:spacing w:line="240" w:lineRule="exact"/>
              <w:jc w:val="left"/>
              <w:rPr>
                <w:rFonts w:hint="eastAsia" w:ascii="宋体" w:hAnsi="宋体" w:eastAsia="宋体" w:cs="宋体"/>
                <w:b/>
                <w:bCs/>
                <w:color w:val="444444"/>
                <w:kern w:val="0"/>
                <w:sz w:val="21"/>
                <w:szCs w:val="21"/>
                <w:lang w:eastAsia="zh-CN"/>
              </w:rPr>
            </w:pPr>
            <w:r>
              <w:rPr>
                <w:rFonts w:hint="eastAsia" w:ascii="Times New Roman" w:hAnsi="Times New Roman" w:eastAsia="宋体"/>
                <w:szCs w:val="24"/>
                <w:lang w:val="en-US" w:eastAsia="zh-CN"/>
              </w:rPr>
              <w:t xml:space="preserve"> </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 xml:space="preserve"> </w:t>
            </w:r>
          </w:p>
        </w:tc>
        <w:tc>
          <w:tcPr>
            <w:tcW w:w="1406" w:type="dxa"/>
            <w:vAlign w:val="center"/>
          </w:tcPr>
          <w:p>
            <w:pPr>
              <w:spacing w:line="240" w:lineRule="atLeast"/>
              <w:jc w:val="left"/>
              <w:rPr>
                <w:rFonts w:hint="eastAsia" w:ascii="宋体" w:hAnsi="宋体" w:eastAsia="宋体" w:cs="宋体"/>
                <w:b/>
                <w:bCs/>
                <w:color w:val="444444"/>
                <w:kern w:val="0"/>
                <w:sz w:val="21"/>
                <w:szCs w:val="21"/>
                <w:lang w:eastAsia="zh-CN"/>
              </w:rPr>
            </w:pPr>
            <w:r>
              <w:rPr>
                <w:rFonts w:hint="eastAsia" w:ascii="宋体" w:hAnsi="宋体" w:cs="宋体"/>
                <w:bCs/>
                <w:kern w:val="36"/>
                <w:szCs w:val="21"/>
                <w:lang w:val="en-US" w:eastAsia="zh-CN"/>
              </w:rPr>
              <w:t xml:space="preserve">  </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2</w:t>
            </w:r>
          </w:p>
        </w:tc>
        <w:tc>
          <w:tcPr>
            <w:tcW w:w="2227" w:type="dxa"/>
            <w:shd w:val="clear" w:color="auto" w:fill="FFFFFF"/>
            <w:vAlign w:val="center"/>
          </w:tcPr>
          <w:p>
            <w:pPr>
              <w:spacing w:line="240" w:lineRule="exact"/>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p>
        </w:tc>
        <w:tc>
          <w:tcPr>
            <w:tcW w:w="1406" w:type="dxa"/>
            <w:vAlign w:val="center"/>
          </w:tcPr>
          <w:p>
            <w:pPr>
              <w:spacing w:line="240" w:lineRule="atLeast"/>
              <w:jc w:val="left"/>
              <w:rPr>
                <w:rFonts w:hint="eastAsia" w:ascii="宋体" w:hAnsi="宋体" w:cs="宋体"/>
                <w:bCs/>
                <w:kern w:val="36"/>
                <w:szCs w:val="21"/>
                <w:lang w:val="en-US" w:eastAsia="zh-CN"/>
              </w:rPr>
            </w:pP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Theme="minorEastAsia"/>
                <w:lang w:val="en-US" w:eastAsia="zh-CN"/>
              </w:rPr>
            </w:pPr>
            <w:r>
              <w:rPr>
                <w:rFonts w:hint="eastAsia" w:ascii="宋体" w:hAnsi="宋体"/>
                <w:lang w:val="en-US" w:eastAsia="zh-CN"/>
              </w:rPr>
              <w:t xml:space="preserve">                                                                                       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rPr>
              <w:t xml:space="preserve">总报价：（大写）     拾      万      仟     佰     拾     元     角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rPr>
            </w:pPr>
            <w:r>
              <w:rPr>
                <w:rFonts w:hint="eastAsia" w:ascii="宋体" w:hAnsi="宋体"/>
                <w:lang w:eastAsia="zh-CN"/>
              </w:rPr>
              <w:t>投</w:t>
            </w:r>
            <w:r>
              <w:rPr>
                <w:rFonts w:hint="eastAsia" w:ascii="宋体" w:hAnsi="宋体"/>
              </w:rPr>
              <w:t>标人代表</w:t>
            </w:r>
            <w:r>
              <w:rPr>
                <w:rFonts w:hint="eastAsia" w:ascii="宋体" w:hAnsi="宋体"/>
                <w:lang w:eastAsia="zh-CN"/>
              </w:rPr>
              <w:t>签字</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时间：</w:t>
            </w:r>
            <w:r>
              <w:rPr>
                <w:rFonts w:hint="eastAsia" w:ascii="宋体" w:hAnsi="宋体"/>
                <w:lang w:val="en-US" w:eastAsia="zh-CN"/>
              </w:rPr>
              <w:t xml:space="preserve">       </w:t>
            </w:r>
            <w:r>
              <w:rPr>
                <w:rFonts w:hint="eastAsia" w:ascii="宋体" w:hAnsi="宋体"/>
              </w:rPr>
              <w:t>年   月   日</w:t>
            </w:r>
          </w:p>
        </w:tc>
      </w:tr>
    </w:tbl>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《报价一览表》填写须知</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w:t>
      </w:r>
      <w:r>
        <w:rPr>
          <w:rFonts w:hint="eastAsia" w:ascii="宋体" w:hAnsi="宋体" w:eastAsia="宋体" w:cs="宋体"/>
          <w:b/>
          <w:bCs/>
          <w:color w:val="444444"/>
          <w:kern w:val="0"/>
          <w:sz w:val="21"/>
          <w:szCs w:val="21"/>
          <w:lang w:eastAsia="zh-CN"/>
        </w:rPr>
        <w:t>《报价一览表》每一页均需加盖单位盖章。</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2.</w:t>
      </w:r>
      <w:r>
        <w:rPr>
          <w:rFonts w:hint="eastAsia" w:ascii="宋体" w:hAnsi="宋体" w:eastAsia="宋体" w:cs="宋体"/>
          <w:b/>
          <w:bCs/>
          <w:color w:val="444444"/>
          <w:kern w:val="0"/>
          <w:sz w:val="21"/>
          <w:szCs w:val="21"/>
          <w:lang w:eastAsia="zh-CN"/>
        </w:rPr>
        <w:t>《报价一览表》的报价为最终报价，不允许二次报价或对报价进行修改。</w:t>
      </w:r>
    </w:p>
    <w:p>
      <w:pPr>
        <w:widowControl/>
        <w:spacing w:before="180" w:line="345" w:lineRule="atLeast"/>
        <w:jc w:val="left"/>
        <w:rPr>
          <w:rFonts w:hint="eastAsia" w:ascii="宋体" w:hAnsi="宋体" w:eastAsia="宋体" w:cs="宋体"/>
          <w:b/>
          <w:bCs/>
          <w:color w:val="FF0000"/>
          <w:kern w:val="0"/>
          <w:sz w:val="21"/>
          <w:szCs w:val="21"/>
          <w:lang w:val="en-US" w:eastAsia="zh-CN"/>
        </w:rPr>
      </w:pPr>
      <w:r>
        <w:rPr>
          <w:rFonts w:hint="eastAsia" w:ascii="宋体" w:hAnsi="宋体" w:eastAsia="宋体" w:cs="宋体"/>
          <w:b/>
          <w:bCs/>
          <w:color w:val="FF0000"/>
          <w:kern w:val="0"/>
          <w:sz w:val="21"/>
          <w:szCs w:val="21"/>
          <w:lang w:val="en-US" w:eastAsia="zh-CN"/>
        </w:rPr>
        <w:t>3.《报价一览表》中各项报价不得高于采购控制价，报价高于采购控制价的均视为无效投标。</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4.</w:t>
      </w:r>
      <w:r>
        <w:rPr>
          <w:rFonts w:hint="eastAsia" w:ascii="宋体" w:hAnsi="宋体" w:eastAsia="宋体" w:cs="宋体"/>
          <w:b/>
          <w:bCs/>
          <w:color w:val="444444"/>
          <w:kern w:val="0"/>
          <w:sz w:val="21"/>
          <w:szCs w:val="21"/>
          <w:lang w:eastAsia="zh-CN"/>
        </w:rPr>
        <w:t>以上费用含施工费、含装卸费、含到施工场地运输费、含增值税普票。</w:t>
      </w:r>
    </w:p>
    <w:p>
      <w:pPr>
        <w:widowControl/>
        <w:spacing w:before="180" w:line="345" w:lineRule="atLeast"/>
        <w:jc w:val="left"/>
        <w:rPr>
          <w:rFonts w:hint="eastAsia" w:ascii="宋体" w:hAnsi="宋体" w:eastAsia="宋体" w:cs="宋体"/>
          <w:b/>
          <w:bCs/>
          <w:color w:val="FF0000"/>
          <w:kern w:val="0"/>
          <w:sz w:val="21"/>
          <w:szCs w:val="21"/>
          <w:lang w:val="en-US" w:eastAsia="zh-CN"/>
        </w:rPr>
        <w:sectPr>
          <w:pgSz w:w="16838" w:h="11906" w:orient="landscape"/>
          <w:pgMar w:top="580" w:right="820" w:bottom="432" w:left="1440" w:header="851" w:footer="992" w:gutter="0"/>
          <w:cols w:space="425" w:num="1"/>
          <w:docGrid w:type="lines" w:linePitch="312" w:charSpace="0"/>
        </w:sectPr>
      </w:pPr>
    </w:p>
    <w:p>
      <w:pPr>
        <w:rPr>
          <w:rFonts w:hint="eastAsia"/>
          <w:lang w:val="en-US"/>
        </w:rPr>
      </w:pPr>
      <w:r>
        <w:rPr>
          <w:rFonts w:hint="eastAsia"/>
        </w:rPr>
        <w:t>附件</w:t>
      </w:r>
      <w:r>
        <w:rPr>
          <w:rFonts w:hint="eastAsia"/>
          <w:lang w:val="en-US" w:eastAsia="zh-CN"/>
        </w:rPr>
        <w:t>4</w:t>
      </w:r>
    </w:p>
    <w:p>
      <w:pPr>
        <w:ind w:firstLine="3260" w:firstLineChars="902"/>
        <w:rPr>
          <w:rFonts w:hint="eastAsia"/>
        </w:rPr>
      </w:pPr>
      <w:r>
        <w:rPr>
          <w:rFonts w:hint="eastAsia" w:ascii="宋体" w:hAnsi="宋体"/>
          <w:b/>
          <w:sz w:val="36"/>
          <w:szCs w:val="36"/>
        </w:rPr>
        <w:t>法定代表人授权书</w:t>
      </w:r>
    </w:p>
    <w:p>
      <w:pPr>
        <w:spacing w:line="500" w:lineRule="exact"/>
        <w:rPr>
          <w:rFonts w:ascii="宋体" w:hAnsi="宋体"/>
          <w:szCs w:val="21"/>
        </w:rPr>
      </w:pPr>
      <w:r>
        <w:rPr>
          <w:rFonts w:hint="eastAsia" w:ascii="宋体" w:hAnsi="宋体"/>
          <w:sz w:val="24"/>
          <w:u w:val="single"/>
        </w:rPr>
        <w:t>福建卫生职业技术学院</w:t>
      </w:r>
      <w:r>
        <w:rPr>
          <w:rFonts w:hint="eastAsia" w:ascii="宋体" w:hAnsi="宋体"/>
          <w:szCs w:val="21"/>
        </w:rPr>
        <w:t>：</w:t>
      </w:r>
    </w:p>
    <w:p>
      <w:pPr>
        <w:pStyle w:val="14"/>
        <w:snapToGrid w:val="0"/>
        <w:spacing w:line="500" w:lineRule="exact"/>
        <w:ind w:firstLine="420" w:firstLineChars="200"/>
        <w:rPr>
          <w:rFonts w:ascii="宋体" w:hAnsi="宋体"/>
          <w:sz w:val="21"/>
          <w:szCs w:val="21"/>
          <w:lang w:eastAsia="zh-CN"/>
        </w:rPr>
      </w:pPr>
      <w:r>
        <w:rPr>
          <w:rFonts w:hint="eastAsia" w:ascii="宋体" w:hAnsi="宋体"/>
          <w:color w:val="auto"/>
          <w:sz w:val="21"/>
          <w:szCs w:val="21"/>
          <w:u w:val="single"/>
          <w:lang w:eastAsia="zh-CN"/>
        </w:rPr>
        <w:t>（投标人全称）</w:t>
      </w:r>
      <w:r>
        <w:rPr>
          <w:rFonts w:hint="eastAsia" w:ascii="宋体" w:hAnsi="宋体"/>
          <w:color w:val="auto"/>
          <w:sz w:val="21"/>
          <w:szCs w:val="21"/>
          <w:lang w:eastAsia="zh-CN"/>
        </w:rPr>
        <w:t>法定代表人</w:t>
      </w:r>
      <w:r>
        <w:rPr>
          <w:rFonts w:ascii="宋体" w:hAnsi="宋体"/>
          <w:color w:val="auto"/>
          <w:sz w:val="21"/>
          <w:szCs w:val="21"/>
          <w:u w:val="single"/>
          <w:lang w:eastAsia="zh-CN"/>
        </w:rPr>
        <w:t xml:space="preserve">        </w:t>
      </w:r>
      <w:r>
        <w:rPr>
          <w:rFonts w:ascii="宋体" w:hAnsi="宋体"/>
          <w:color w:val="auto"/>
          <w:sz w:val="21"/>
          <w:szCs w:val="21"/>
          <w:lang w:eastAsia="zh-CN"/>
        </w:rPr>
        <w:t xml:space="preserve"> </w:t>
      </w:r>
      <w:r>
        <w:rPr>
          <w:rFonts w:hint="eastAsia" w:ascii="宋体" w:hAnsi="宋体"/>
          <w:color w:val="auto"/>
          <w:sz w:val="21"/>
          <w:szCs w:val="21"/>
          <w:lang w:eastAsia="zh-CN"/>
        </w:rPr>
        <w:t>授权</w:t>
      </w:r>
      <w:r>
        <w:rPr>
          <w:rFonts w:ascii="宋体" w:hAnsi="宋体"/>
          <w:color w:val="auto"/>
          <w:sz w:val="21"/>
          <w:szCs w:val="21"/>
          <w:u w:val="single"/>
          <w:lang w:eastAsia="zh-CN"/>
        </w:rPr>
        <w:t xml:space="preserve">  </w:t>
      </w:r>
      <w:r>
        <w:rPr>
          <w:rFonts w:hint="eastAsia" w:ascii="宋体" w:hAnsi="宋体"/>
          <w:color w:val="auto"/>
          <w:sz w:val="21"/>
          <w:szCs w:val="21"/>
          <w:u w:val="single"/>
          <w:lang w:eastAsia="zh-CN"/>
        </w:rPr>
        <w:t>（投标人代表姓名）</w:t>
      </w:r>
      <w:r>
        <w:rPr>
          <w:rFonts w:hint="eastAsia" w:ascii="宋体" w:hAnsi="宋体"/>
          <w:color w:val="auto"/>
          <w:sz w:val="21"/>
          <w:szCs w:val="21"/>
          <w:lang w:eastAsia="zh-CN"/>
        </w:rPr>
        <w:t>为投标人</w:t>
      </w:r>
      <w:r>
        <w:rPr>
          <w:rFonts w:hint="eastAsia" w:ascii="宋体" w:hAnsi="宋体"/>
          <w:sz w:val="21"/>
          <w:szCs w:val="21"/>
          <w:lang w:eastAsia="zh-CN"/>
        </w:rPr>
        <w:t>的委托代理人，代表本公司参加贵单位组织的</w:t>
      </w:r>
      <w:r>
        <w:rPr>
          <w:rFonts w:ascii="宋体" w:hAnsi="宋体"/>
          <w:sz w:val="21"/>
          <w:szCs w:val="21"/>
          <w:u w:val="single"/>
          <w:lang w:eastAsia="zh-CN"/>
        </w:rPr>
        <w:t xml:space="preserve"> </w:t>
      </w:r>
      <w:r>
        <w:rPr>
          <w:rFonts w:hint="eastAsia" w:ascii="宋体" w:hAnsi="宋体"/>
          <w:sz w:val="21"/>
          <w:szCs w:val="21"/>
          <w:u w:val="single"/>
          <w:lang w:eastAsia="zh-CN"/>
        </w:rPr>
        <w:t xml:space="preserve">                  </w:t>
      </w:r>
      <w:r>
        <w:rPr>
          <w:rFonts w:hint="eastAsia" w:ascii="宋体" w:hAnsi="宋体"/>
          <w:sz w:val="21"/>
          <w:szCs w:val="21"/>
          <w:lang w:eastAsia="zh-CN"/>
        </w:rPr>
        <w:t>项目中包</w:t>
      </w:r>
      <w:r>
        <w:rPr>
          <w:rFonts w:hint="eastAsia" w:ascii="宋体" w:hAnsi="宋体"/>
          <w:sz w:val="21"/>
          <w:szCs w:val="21"/>
          <w:u w:val="single"/>
          <w:lang w:eastAsia="zh-CN"/>
        </w:rPr>
        <w:t xml:space="preserve">  </w:t>
      </w:r>
      <w:r>
        <w:rPr>
          <w:rFonts w:hint="eastAsia" w:ascii="宋体" w:hAnsi="宋体"/>
          <w:sz w:val="21"/>
          <w:szCs w:val="21"/>
          <w:u w:val="single"/>
          <w:lang w:val="en-US" w:eastAsia="zh-CN"/>
        </w:rPr>
        <w:t xml:space="preserve">  </w:t>
      </w:r>
      <w:r>
        <w:rPr>
          <w:rFonts w:hint="eastAsia" w:ascii="宋体" w:hAnsi="宋体"/>
          <w:sz w:val="21"/>
          <w:szCs w:val="21"/>
          <w:lang w:eastAsia="zh-CN"/>
        </w:rPr>
        <w:t>（</w:t>
      </w:r>
      <w:r>
        <w:rPr>
          <w:rFonts w:hint="eastAsia" w:ascii="宋体" w:hAnsi="宋体" w:eastAsia="宋体" w:cs="宋体"/>
          <w:kern w:val="0"/>
          <w:szCs w:val="21"/>
        </w:rPr>
        <w:t>后勤招</w:t>
      </w:r>
      <w:r>
        <w:rPr>
          <w:rFonts w:hint="eastAsia" w:ascii="宋体" w:hAnsi="宋体" w:eastAsia="宋体" w:cs="宋体"/>
          <w:color w:val="FF0000"/>
          <w:kern w:val="0"/>
          <w:szCs w:val="21"/>
          <w:lang w:val="en-US" w:eastAsia="zh-CN"/>
        </w:rPr>
        <w:t>XXXXXX</w:t>
      </w:r>
      <w:r>
        <w:rPr>
          <w:rFonts w:hint="eastAsia" w:ascii="宋体" w:hAnsi="宋体" w:eastAsia="宋体" w:cs="宋体"/>
          <w:kern w:val="0"/>
          <w:szCs w:val="21"/>
        </w:rPr>
        <w:t>号</w:t>
      </w:r>
      <w:r>
        <w:rPr>
          <w:rFonts w:hint="eastAsia" w:ascii="宋体" w:hAnsi="宋体"/>
          <w:color w:val="auto"/>
          <w:sz w:val="21"/>
          <w:szCs w:val="21"/>
          <w:lang w:eastAsia="zh-CN"/>
        </w:rPr>
        <w:t>）</w:t>
      </w:r>
      <w:r>
        <w:rPr>
          <w:rFonts w:hint="eastAsia" w:ascii="宋体" w:hAnsi="宋体"/>
          <w:sz w:val="21"/>
          <w:szCs w:val="21"/>
          <w:lang w:eastAsia="zh-CN"/>
        </w:rPr>
        <w:t>询价活动，全权代表本公司处理投标过程的一切事宜，包括但不限于：投标、报价、参与开标、谈判、签约等。投标人的委托代理人在投标过程中所签署的一切文件和处理与之有关的一切事务，本公司均予以认可并对此承担责任。投标人的委托代理人无转委权。特此授权。</w:t>
      </w:r>
    </w:p>
    <w:p>
      <w:pPr>
        <w:pStyle w:val="14"/>
        <w:snapToGrid w:val="0"/>
        <w:spacing w:line="500" w:lineRule="exact"/>
        <w:ind w:firstLine="420" w:firstLineChars="200"/>
        <w:rPr>
          <w:rFonts w:ascii="宋体" w:hAnsi="宋体"/>
          <w:sz w:val="21"/>
          <w:szCs w:val="21"/>
          <w:lang w:eastAsia="zh-CN"/>
        </w:rPr>
      </w:pPr>
      <w:r>
        <w:rPr>
          <w:rFonts w:hint="eastAsia" w:ascii="宋体" w:hAnsi="宋体"/>
          <w:sz w:val="21"/>
          <w:szCs w:val="21"/>
          <w:lang w:eastAsia="zh-CN"/>
        </w:rPr>
        <w:t>本授权书自出具之日起生效。</w:t>
      </w:r>
    </w:p>
    <w:p>
      <w:pPr>
        <w:spacing w:line="500" w:lineRule="exact"/>
        <w:rPr>
          <w:rFonts w:ascii="宋体" w:hAnsi="宋体"/>
          <w:szCs w:val="21"/>
        </w:rPr>
      </w:pPr>
      <w:r>
        <w:rPr>
          <w:rFonts w:hint="eastAsia" w:ascii="宋体" w:hAnsi="宋体"/>
          <w:szCs w:val="21"/>
        </w:rPr>
        <w:t>投标人的委托代理人：</w:t>
      </w:r>
      <w:r>
        <w:rPr>
          <w:rFonts w:hint="eastAsia" w:ascii="宋体" w:hAnsi="宋体"/>
          <w:szCs w:val="21"/>
          <w:u w:val="single"/>
        </w:rPr>
        <w:t xml:space="preserve">       </w:t>
      </w:r>
      <w:r>
        <w:rPr>
          <w:rFonts w:hint="eastAsia" w:ascii="宋体" w:hAnsi="宋体"/>
          <w:szCs w:val="21"/>
        </w:rPr>
        <w:t xml:space="preserve">  性别：</w:t>
      </w:r>
      <w:r>
        <w:rPr>
          <w:rFonts w:hint="eastAsia" w:ascii="宋体" w:hAnsi="宋体"/>
          <w:szCs w:val="21"/>
          <w:u w:val="single"/>
        </w:rPr>
        <w:t xml:space="preserve">           </w:t>
      </w:r>
      <w:r>
        <w:rPr>
          <w:rFonts w:hint="eastAsia" w:ascii="宋体" w:hAnsi="宋体"/>
          <w:szCs w:val="21"/>
        </w:rPr>
        <w:t xml:space="preserve">  身份证号：</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单位：</w:t>
      </w:r>
      <w:r>
        <w:rPr>
          <w:rFonts w:hint="eastAsia" w:ascii="宋体" w:hAnsi="宋体"/>
          <w:szCs w:val="21"/>
          <w:u w:val="single"/>
        </w:rPr>
        <w:t xml:space="preserve">                     </w:t>
      </w:r>
      <w:r>
        <w:rPr>
          <w:rFonts w:hint="eastAsia" w:ascii="宋体" w:hAnsi="宋体"/>
          <w:szCs w:val="21"/>
        </w:rPr>
        <w:t xml:space="preserve">  部门：</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详细通讯地址：</w:t>
      </w:r>
      <w:r>
        <w:rPr>
          <w:rFonts w:hint="eastAsia" w:ascii="宋体" w:hAnsi="宋体"/>
          <w:szCs w:val="21"/>
          <w:u w:val="single"/>
        </w:rPr>
        <w:t xml:space="preserve">             </w:t>
      </w:r>
      <w:r>
        <w:rPr>
          <w:rFonts w:hint="eastAsia" w:ascii="宋体" w:hAnsi="宋体"/>
          <w:szCs w:val="21"/>
        </w:rPr>
        <w:t xml:space="preserve"> </w:t>
      </w:r>
      <w:r>
        <w:rPr>
          <w:rFonts w:hint="eastAsia" w:ascii="宋体" w:hAnsi="宋体"/>
          <w:b/>
          <w:bCs/>
          <w:szCs w:val="21"/>
        </w:rPr>
        <w:t xml:space="preserve"> </w:t>
      </w:r>
      <w:r>
        <w:rPr>
          <w:rFonts w:hint="eastAsia" w:ascii="宋体" w:hAnsi="宋体"/>
          <w:szCs w:val="21"/>
        </w:rPr>
        <w:t>邮政编码:</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b/>
          <w:szCs w:val="21"/>
        </w:rPr>
        <w:t>须附：授权人及被授权人身份证件（正面、反面）复印件</w:t>
      </w:r>
    </w:p>
    <w:p>
      <w:pPr>
        <w:spacing w:line="500" w:lineRule="exact"/>
        <w:ind w:firstLine="3162" w:firstLineChars="1500"/>
        <w:rPr>
          <w:rFonts w:ascii="宋体" w:hAnsi="宋体"/>
          <w:b/>
          <w:bCs/>
          <w:szCs w:val="21"/>
        </w:rPr>
      </w:pPr>
    </w:p>
    <w:p>
      <w:pPr>
        <w:spacing w:line="500" w:lineRule="exact"/>
        <w:ind w:firstLine="3162" w:firstLineChars="1500"/>
        <w:rPr>
          <w:rFonts w:ascii="宋体" w:hAnsi="宋体"/>
          <w:b/>
          <w:bCs/>
          <w:szCs w:val="21"/>
        </w:rPr>
      </w:pPr>
      <w:r>
        <w:rPr>
          <w:rFonts w:hint="eastAsia" w:ascii="宋体" w:hAnsi="宋体"/>
          <w:b/>
          <w:bCs/>
          <w:szCs w:val="21"/>
        </w:rPr>
        <w:t>授权人</w:t>
      </w:r>
    </w:p>
    <w:p>
      <w:pPr>
        <w:spacing w:line="500" w:lineRule="exact"/>
        <w:ind w:firstLine="3150" w:firstLineChars="1500"/>
        <w:rPr>
          <w:rFonts w:ascii="宋体" w:hAnsi="宋体"/>
          <w:szCs w:val="21"/>
        </w:rPr>
      </w:pPr>
      <w:r>
        <w:rPr>
          <w:rFonts w:hint="eastAsia" w:ascii="宋体" w:hAnsi="宋体"/>
          <w:szCs w:val="21"/>
        </w:rPr>
        <w:t>投标人（全称并加盖公章）：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日     期：</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62" w:firstLineChars="1500"/>
        <w:rPr>
          <w:rFonts w:ascii="宋体" w:hAnsi="宋体"/>
          <w:b/>
          <w:bCs/>
          <w:szCs w:val="21"/>
        </w:rPr>
      </w:pPr>
      <w:r>
        <w:rPr>
          <w:rFonts w:hint="eastAsia" w:ascii="宋体" w:hAnsi="宋体"/>
          <w:b/>
          <w:bCs/>
          <w:szCs w:val="21"/>
        </w:rPr>
        <w:t>被授权人</w:t>
      </w:r>
    </w:p>
    <w:p>
      <w:pPr>
        <w:spacing w:line="500" w:lineRule="exact"/>
        <w:ind w:firstLine="3150" w:firstLineChars="1500"/>
        <w:rPr>
          <w:rFonts w:ascii="宋体" w:hAnsi="宋体"/>
          <w:szCs w:val="21"/>
        </w:rPr>
      </w:pPr>
      <w:r>
        <w:rPr>
          <w:rFonts w:hint="eastAsia" w:ascii="宋体" w:hAnsi="宋体"/>
          <w:szCs w:val="21"/>
        </w:rPr>
        <w:t>投标人的委托代理人签字：</w:t>
      </w:r>
      <w:r>
        <w:rPr>
          <w:rFonts w:hint="eastAsia" w:ascii="宋体" w:hAnsi="宋体"/>
          <w:szCs w:val="21"/>
          <w:u w:val="single"/>
        </w:rPr>
        <w:t xml:space="preserve">                </w:t>
      </w:r>
    </w:p>
    <w:p>
      <w:pPr>
        <w:spacing w:line="500" w:lineRule="exact"/>
        <w:rPr>
          <w:rFonts w:ascii="宋体" w:hAnsi="宋体"/>
          <w:szCs w:val="21"/>
        </w:rPr>
      </w:pPr>
    </w:p>
    <w:p>
      <w:pPr>
        <w:tabs>
          <w:tab w:val="left" w:pos="5355"/>
        </w:tabs>
        <w:spacing w:line="500" w:lineRule="exact"/>
        <w:ind w:firstLine="3150" w:firstLineChars="1500"/>
        <w:rPr>
          <w:rFonts w:ascii="宋体" w:hAnsi="宋体"/>
          <w:szCs w:val="21"/>
          <w:u w:val="single"/>
        </w:rPr>
      </w:pPr>
      <w:r>
        <w:rPr>
          <w:rFonts w:hint="eastAsia" w:ascii="宋体" w:hAnsi="宋体"/>
          <w:szCs w:val="21"/>
        </w:rPr>
        <w:t>日     期：</w:t>
      </w:r>
      <w:r>
        <w:rPr>
          <w:rFonts w:hint="eastAsia" w:ascii="宋体" w:hAnsi="宋体"/>
          <w:szCs w:val="21"/>
          <w:u w:val="single"/>
        </w:rPr>
        <w:t xml:space="preserve">                             </w:t>
      </w:r>
    </w:p>
    <w:p>
      <w:pPr>
        <w:adjustRightInd w:val="0"/>
        <w:snapToGrid w:val="0"/>
        <w:spacing w:line="300" w:lineRule="auto"/>
        <w:outlineLvl w:val="0"/>
      </w:pPr>
      <w:r>
        <w:rPr>
          <w:rFonts w:hint="eastAsia" w:ascii="宋体" w:hAnsi="宋体"/>
          <w:b/>
          <w:szCs w:val="21"/>
        </w:rPr>
        <w:t>注：授权人及被授权人身份证件复印件须</w:t>
      </w:r>
      <w:r>
        <w:rPr>
          <w:rFonts w:hint="eastAsia" w:ascii="宋体" w:hAnsi="宋体" w:cs="宋体"/>
          <w:b/>
          <w:bCs/>
          <w:kern w:val="0"/>
          <w:szCs w:val="21"/>
        </w:rPr>
        <w:t>加盖单位公章，并注明复印件与原件一致。</w:t>
      </w: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444444"/>
          <w:kern w:val="0"/>
          <w:sz w:val="29"/>
          <w:szCs w:val="29"/>
          <w:lang w:val="en-US" w:eastAsia="zh-CN"/>
        </w:rPr>
      </w:pPr>
      <w:r>
        <w:rPr>
          <w:rFonts w:hint="eastAsia" w:ascii="宋体" w:hAnsi="宋体" w:eastAsia="宋体" w:cs="宋体"/>
          <w:b/>
          <w:bCs/>
          <w:color w:val="444444"/>
          <w:kern w:val="0"/>
          <w:sz w:val="29"/>
          <w:szCs w:val="29"/>
          <w:lang w:eastAsia="zh-CN"/>
        </w:rPr>
        <w:t>附件</w:t>
      </w:r>
      <w:r>
        <w:rPr>
          <w:rFonts w:hint="eastAsia" w:ascii="宋体" w:hAnsi="宋体" w:cs="宋体"/>
          <w:b/>
          <w:bCs/>
          <w:color w:val="444444"/>
          <w:kern w:val="0"/>
          <w:sz w:val="29"/>
          <w:szCs w:val="29"/>
          <w:lang w:val="en-US" w:eastAsia="zh-CN"/>
        </w:rPr>
        <w:t>5</w:t>
      </w:r>
      <w:r>
        <w:rPr>
          <w:rFonts w:hint="eastAsia" w:ascii="宋体" w:hAnsi="宋体" w:eastAsia="宋体" w:cs="宋体"/>
          <w:b/>
          <w:bCs/>
          <w:color w:val="444444"/>
          <w:kern w:val="0"/>
          <w:sz w:val="29"/>
          <w:szCs w:val="29"/>
          <w:lang w:val="en-US" w:eastAsia="zh-CN"/>
        </w:rPr>
        <w:t xml:space="preserve">            </w:t>
      </w:r>
    </w:p>
    <w:p>
      <w:pPr>
        <w:widowControl/>
        <w:spacing w:before="180" w:line="345" w:lineRule="atLeast"/>
        <w:ind w:firstLine="3569" w:firstLineChars="1226"/>
        <w:jc w:val="left"/>
        <w:rPr>
          <w:rFonts w:ascii="宋体" w:hAnsi="宋体" w:eastAsia="宋体" w:cs="宋体"/>
          <w:color w:val="444444"/>
          <w:kern w:val="0"/>
          <w:sz w:val="24"/>
          <w:szCs w:val="24"/>
        </w:rPr>
      </w:pPr>
      <w:r>
        <w:rPr>
          <w:rFonts w:ascii="宋体" w:hAnsi="宋体" w:eastAsia="宋体" w:cs="宋体"/>
          <w:b/>
          <w:bCs/>
          <w:color w:val="444444"/>
          <w:kern w:val="0"/>
          <w:sz w:val="29"/>
          <w:szCs w:val="29"/>
        </w:rPr>
        <w:t>询价响应声明</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致</w:t>
      </w:r>
      <w:r>
        <w:rPr>
          <w:rFonts w:hint="eastAsia" w:ascii="宋体" w:hAnsi="宋体" w:eastAsia="宋体" w:cs="宋体"/>
          <w:color w:val="444444"/>
          <w:kern w:val="0"/>
          <w:szCs w:val="21"/>
          <w:lang w:eastAsia="zh-CN"/>
        </w:rPr>
        <w:t>福建卫生职业技术学院</w:t>
      </w:r>
      <w:r>
        <w:rPr>
          <w:rFonts w:ascii="宋体" w:hAnsi="宋体" w:eastAsia="宋体" w:cs="宋体"/>
          <w:color w:val="444444"/>
          <w:kern w:val="0"/>
          <w:szCs w:val="21"/>
        </w:rPr>
        <w:t>：</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   根据贵方为</w:t>
      </w:r>
      <w:r>
        <w:rPr>
          <w:rFonts w:hint="eastAsia" w:ascii="宋体" w:hAnsi="宋体" w:eastAsia="宋体" w:cs="宋体"/>
          <w:color w:val="444444"/>
          <w:kern w:val="0"/>
          <w:szCs w:val="21"/>
          <w:lang w:eastAsia="zh-CN"/>
        </w:rPr>
        <w:t>项目名称：</w:t>
      </w:r>
      <w:r>
        <w:rPr>
          <w:rFonts w:hint="eastAsia" w:ascii="宋体" w:hAnsi="宋体" w:eastAsia="宋体" w:cs="宋体"/>
          <w:color w:val="444444"/>
          <w:kern w:val="0"/>
          <w:szCs w:val="21"/>
          <w:u w:val="single"/>
          <w:lang w:val="en-US" w:eastAsia="zh-CN"/>
        </w:rPr>
        <w:t xml:space="preserve">                       </w:t>
      </w:r>
      <w:r>
        <w:rPr>
          <w:rFonts w:hint="eastAsia" w:ascii="宋体" w:hAnsi="宋体" w:eastAsia="宋体" w:cs="宋体"/>
          <w:color w:val="444444"/>
          <w:kern w:val="0"/>
          <w:szCs w:val="21"/>
          <w:u w:val="none"/>
          <w:lang w:val="en-US" w:eastAsia="zh-CN"/>
        </w:rPr>
        <w:t>包序：</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rPr>
        <w:t>的询价通知书，本人</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w:t>
      </w:r>
      <w:r>
        <w:rPr>
          <w:rFonts w:hint="eastAsia" w:ascii="宋体" w:hAnsi="宋体" w:eastAsia="宋体" w:cs="宋体"/>
          <w:color w:val="444444"/>
          <w:kern w:val="0"/>
          <w:szCs w:val="21"/>
          <w:lang w:eastAsia="zh-CN"/>
        </w:rPr>
        <w:t>名字</w:t>
      </w:r>
      <w:r>
        <w:rPr>
          <w:rFonts w:ascii="宋体" w:hAnsi="宋体" w:eastAsia="宋体" w:cs="宋体"/>
          <w:color w:val="444444"/>
          <w:kern w:val="0"/>
          <w:szCs w:val="21"/>
        </w:rPr>
        <w:t>）代表供应商</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w:t>
      </w:r>
      <w:bookmarkStart w:id="2" w:name="_GoBack"/>
      <w:bookmarkEnd w:id="2"/>
      <w:r>
        <w:rPr>
          <w:rFonts w:ascii="宋体" w:hAnsi="宋体" w:eastAsia="宋体" w:cs="宋体"/>
          <w:color w:val="444444"/>
          <w:kern w:val="0"/>
          <w:szCs w:val="21"/>
        </w:rPr>
        <w:t>（供应商名称）提交响应文件正本</w:t>
      </w:r>
      <w:r>
        <w:rPr>
          <w:rFonts w:hint="eastAsia" w:ascii="宋体" w:hAnsi="宋体" w:eastAsia="宋体" w:cs="宋体"/>
          <w:color w:val="444444"/>
          <w:kern w:val="0"/>
          <w:szCs w:val="21"/>
          <w:lang w:eastAsia="zh-CN"/>
        </w:rPr>
        <w:t>壹</w:t>
      </w:r>
      <w:r>
        <w:rPr>
          <w:rFonts w:ascii="宋体" w:hAnsi="宋体" w:eastAsia="宋体" w:cs="宋体"/>
          <w:color w:val="444444"/>
          <w:kern w:val="0"/>
          <w:szCs w:val="21"/>
        </w:rPr>
        <w:t>份和副本一式</w:t>
      </w:r>
      <w:r>
        <w:rPr>
          <w:rFonts w:hint="eastAsia" w:ascii="宋体" w:hAnsi="宋体" w:cs="宋体"/>
          <w:color w:val="444444"/>
          <w:kern w:val="0"/>
          <w:szCs w:val="21"/>
          <w:lang w:eastAsia="zh-CN"/>
        </w:rPr>
        <w:t>贰</w:t>
      </w:r>
      <w:r>
        <w:rPr>
          <w:rFonts w:ascii="宋体" w:hAnsi="宋体" w:eastAsia="宋体" w:cs="宋体"/>
          <w:color w:val="444444"/>
          <w:kern w:val="0"/>
          <w:szCs w:val="21"/>
        </w:rPr>
        <w:t>份。</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一、我方同意在本项目询价通知书中规定的递交响应文件截止时间起</w:t>
      </w:r>
      <w:r>
        <w:rPr>
          <w:rFonts w:hint="eastAsia" w:ascii="宋体" w:hAnsi="宋体" w:eastAsia="宋体" w:cs="宋体"/>
          <w:color w:val="444444"/>
          <w:kern w:val="0"/>
          <w:szCs w:val="21"/>
          <w:u w:val="single"/>
          <w:lang w:val="en-US" w:eastAsia="zh-CN"/>
        </w:rPr>
        <w:t>90</w:t>
      </w:r>
      <w:r>
        <w:rPr>
          <w:rFonts w:ascii="宋体" w:hAnsi="宋体" w:eastAsia="宋体" w:cs="宋体"/>
          <w:color w:val="444444"/>
          <w:kern w:val="0"/>
          <w:szCs w:val="21"/>
        </w:rPr>
        <w:t>天内 （响应文件有效期）遵守本响应文件中的承诺，且在此期限期满之前均具有约束力。</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二、我方已详细审核全部询价通知书，包括询价通知书修改文件（如有的话）、参考资料及有关附件，确认无误。我方承诺接受询价通知书中的全部条款且无任何异议。</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三、我方承诺我方满足询价通知书中要求的供应商基本条件和特定条件。</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四、我方保证响应文件提供的数据和材料是真实、合法的。我方愿意向贵方提供任何与本项目采购有关的数据、情况和技术资料。若贵方需要，我方愿意提供我方作出的一切承诺的证明材料。</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五、我方承诺遵守《政府采购法》的有关规定，按照询价通知书确定的事项签订采购合同，并承担合同规定的责任和义务。</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供应商名称（盖公章）：</w:t>
      </w:r>
      <w:r>
        <w:rPr>
          <w:rFonts w:ascii="宋体" w:hAnsi="宋体" w:eastAsia="宋体" w:cs="宋体"/>
          <w:color w:val="444444"/>
          <w:kern w:val="0"/>
          <w:szCs w:val="21"/>
          <w:u w:val="single"/>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法定代表人或授权代表（签字或盖章）：</w:t>
      </w:r>
      <w:r>
        <w:rPr>
          <w:rFonts w:ascii="宋体" w:hAnsi="宋体" w:eastAsia="宋体" w:cs="宋体"/>
          <w:color w:val="444444"/>
          <w:kern w:val="0"/>
          <w:szCs w:val="21"/>
          <w:u w:val="single"/>
        </w:rPr>
        <w:t>             </w:t>
      </w: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日期：</w:t>
      </w:r>
      <w:r>
        <w:rPr>
          <w:rFonts w:ascii="宋体" w:hAnsi="宋体" w:eastAsia="宋体" w:cs="宋体"/>
          <w:color w:val="444444"/>
          <w:kern w:val="0"/>
          <w:szCs w:val="21"/>
          <w:u w:val="single"/>
        </w:rPr>
        <w:t>     </w:t>
      </w:r>
      <w:r>
        <w:rPr>
          <w:rFonts w:ascii="宋体" w:hAnsi="宋体" w:eastAsia="宋体" w:cs="宋体"/>
          <w:color w:val="444444"/>
          <w:kern w:val="0"/>
          <w:szCs w:val="21"/>
        </w:rPr>
        <w:t>年</w:t>
      </w:r>
      <w:r>
        <w:rPr>
          <w:rFonts w:ascii="宋体" w:hAnsi="宋体" w:eastAsia="宋体" w:cs="宋体"/>
          <w:color w:val="444444"/>
          <w:kern w:val="0"/>
          <w:szCs w:val="21"/>
          <w:u w:val="single"/>
        </w:rPr>
        <w:t>   </w:t>
      </w:r>
      <w:r>
        <w:rPr>
          <w:rFonts w:ascii="宋体" w:hAnsi="宋体" w:eastAsia="宋体" w:cs="宋体"/>
          <w:color w:val="444444"/>
          <w:kern w:val="0"/>
          <w:szCs w:val="21"/>
        </w:rPr>
        <w:t>月 </w:t>
      </w:r>
      <w:r>
        <w:rPr>
          <w:rFonts w:ascii="宋体" w:hAnsi="宋体" w:eastAsia="宋体" w:cs="宋体"/>
          <w:color w:val="444444"/>
          <w:kern w:val="0"/>
          <w:szCs w:val="21"/>
          <w:u w:val="single"/>
        </w:rPr>
        <w:t>  </w:t>
      </w:r>
      <w:r>
        <w:rPr>
          <w:rFonts w:ascii="宋体" w:hAnsi="宋体" w:eastAsia="宋体" w:cs="宋体"/>
          <w:color w:val="444444"/>
          <w:kern w:val="0"/>
          <w:szCs w:val="21"/>
        </w:rPr>
        <w:t>日</w:t>
      </w:r>
    </w:p>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rPr>
      </w:pPr>
    </w:p>
    <w:sectPr>
      <w:pgSz w:w="11906" w:h="16838"/>
      <w:pgMar w:top="820" w:right="432" w:bottom="1440" w:left="5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00000287" w:usb1="00000000" w:usb2="00000000" w:usb3="00000000" w:csb0="2000019F" w:csb1="00000000"/>
  </w:font>
  <w:font w:name="microsoft yahei arial helvetica">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1446279"/>
    <w:rsid w:val="02043FCF"/>
    <w:rsid w:val="024E258E"/>
    <w:rsid w:val="02CE3CE3"/>
    <w:rsid w:val="02EC034B"/>
    <w:rsid w:val="03837B83"/>
    <w:rsid w:val="03BE128D"/>
    <w:rsid w:val="04686E69"/>
    <w:rsid w:val="048A3EFA"/>
    <w:rsid w:val="075C3809"/>
    <w:rsid w:val="077B1C63"/>
    <w:rsid w:val="08FE0A90"/>
    <w:rsid w:val="0BAE6E41"/>
    <w:rsid w:val="0BEC35F6"/>
    <w:rsid w:val="0BF875A1"/>
    <w:rsid w:val="0C3A749E"/>
    <w:rsid w:val="0C4C7F8B"/>
    <w:rsid w:val="0D5E549B"/>
    <w:rsid w:val="0DCA1566"/>
    <w:rsid w:val="0E416513"/>
    <w:rsid w:val="0E537B47"/>
    <w:rsid w:val="0FF06B03"/>
    <w:rsid w:val="112C7FDD"/>
    <w:rsid w:val="11A46471"/>
    <w:rsid w:val="129A1F23"/>
    <w:rsid w:val="13E41DD4"/>
    <w:rsid w:val="14AF0F61"/>
    <w:rsid w:val="15583548"/>
    <w:rsid w:val="15F60B85"/>
    <w:rsid w:val="166A47DF"/>
    <w:rsid w:val="16AD613F"/>
    <w:rsid w:val="180145C5"/>
    <w:rsid w:val="18491034"/>
    <w:rsid w:val="189A257A"/>
    <w:rsid w:val="18C06C14"/>
    <w:rsid w:val="19452A3C"/>
    <w:rsid w:val="195A4546"/>
    <w:rsid w:val="197628A4"/>
    <w:rsid w:val="19F33F76"/>
    <w:rsid w:val="1A347C37"/>
    <w:rsid w:val="1B7056EB"/>
    <w:rsid w:val="1B7B7807"/>
    <w:rsid w:val="1BAB54AC"/>
    <w:rsid w:val="1BF666A7"/>
    <w:rsid w:val="1CCE40B8"/>
    <w:rsid w:val="1D293B6D"/>
    <w:rsid w:val="1D3C473A"/>
    <w:rsid w:val="1E161604"/>
    <w:rsid w:val="1E1957DB"/>
    <w:rsid w:val="1EC9096B"/>
    <w:rsid w:val="1ED8629B"/>
    <w:rsid w:val="212360FB"/>
    <w:rsid w:val="21B94AA3"/>
    <w:rsid w:val="21F541B0"/>
    <w:rsid w:val="22245844"/>
    <w:rsid w:val="244C6003"/>
    <w:rsid w:val="2554468F"/>
    <w:rsid w:val="256C64BF"/>
    <w:rsid w:val="26AC258B"/>
    <w:rsid w:val="26D14F47"/>
    <w:rsid w:val="277213F8"/>
    <w:rsid w:val="28796EC5"/>
    <w:rsid w:val="288621D9"/>
    <w:rsid w:val="28E8281A"/>
    <w:rsid w:val="29B328FB"/>
    <w:rsid w:val="29CB4FB8"/>
    <w:rsid w:val="29EC39E8"/>
    <w:rsid w:val="2A1A16EB"/>
    <w:rsid w:val="2AEB7A4C"/>
    <w:rsid w:val="2B4112A4"/>
    <w:rsid w:val="2B480659"/>
    <w:rsid w:val="2C0815D1"/>
    <w:rsid w:val="2E6A72D7"/>
    <w:rsid w:val="30123D8F"/>
    <w:rsid w:val="319A1D3F"/>
    <w:rsid w:val="31F82ADC"/>
    <w:rsid w:val="325241F7"/>
    <w:rsid w:val="32F4687C"/>
    <w:rsid w:val="33806566"/>
    <w:rsid w:val="33B34D30"/>
    <w:rsid w:val="343A30A6"/>
    <w:rsid w:val="34BB1BD4"/>
    <w:rsid w:val="34FB094B"/>
    <w:rsid w:val="366E11ED"/>
    <w:rsid w:val="36CC298D"/>
    <w:rsid w:val="37A334E6"/>
    <w:rsid w:val="38274C0F"/>
    <w:rsid w:val="38393E34"/>
    <w:rsid w:val="384A3254"/>
    <w:rsid w:val="38702123"/>
    <w:rsid w:val="395C1069"/>
    <w:rsid w:val="3B822710"/>
    <w:rsid w:val="3C345715"/>
    <w:rsid w:val="3C8C5FE4"/>
    <w:rsid w:val="3DD36A73"/>
    <w:rsid w:val="3E134C87"/>
    <w:rsid w:val="3E6F1FA6"/>
    <w:rsid w:val="3EAE2061"/>
    <w:rsid w:val="3F0D1FA4"/>
    <w:rsid w:val="3F252173"/>
    <w:rsid w:val="421A7168"/>
    <w:rsid w:val="44173AE6"/>
    <w:rsid w:val="4500717D"/>
    <w:rsid w:val="462B6795"/>
    <w:rsid w:val="46EF0183"/>
    <w:rsid w:val="48D5715C"/>
    <w:rsid w:val="48F17334"/>
    <w:rsid w:val="48F3368E"/>
    <w:rsid w:val="494C0D39"/>
    <w:rsid w:val="49850959"/>
    <w:rsid w:val="49A10AFA"/>
    <w:rsid w:val="49CF6963"/>
    <w:rsid w:val="4A2C00BC"/>
    <w:rsid w:val="4A4461A6"/>
    <w:rsid w:val="4AE06FFA"/>
    <w:rsid w:val="4B8E78B8"/>
    <w:rsid w:val="4BC8308A"/>
    <w:rsid w:val="4BEF7875"/>
    <w:rsid w:val="4CB4349A"/>
    <w:rsid w:val="4DB37839"/>
    <w:rsid w:val="4E6D4DA5"/>
    <w:rsid w:val="4FC56086"/>
    <w:rsid w:val="50B46857"/>
    <w:rsid w:val="51C50B10"/>
    <w:rsid w:val="52E95B48"/>
    <w:rsid w:val="532C5605"/>
    <w:rsid w:val="535C288C"/>
    <w:rsid w:val="539B3A41"/>
    <w:rsid w:val="53BF7E2B"/>
    <w:rsid w:val="54806F8C"/>
    <w:rsid w:val="54C34438"/>
    <w:rsid w:val="550347C5"/>
    <w:rsid w:val="55111B2A"/>
    <w:rsid w:val="55194A10"/>
    <w:rsid w:val="560E6E69"/>
    <w:rsid w:val="56756547"/>
    <w:rsid w:val="57336DF5"/>
    <w:rsid w:val="573C1CC2"/>
    <w:rsid w:val="587777E3"/>
    <w:rsid w:val="58846FE7"/>
    <w:rsid w:val="58D273D4"/>
    <w:rsid w:val="5A687DB5"/>
    <w:rsid w:val="5B3328C6"/>
    <w:rsid w:val="5B667C56"/>
    <w:rsid w:val="5B873C80"/>
    <w:rsid w:val="5C3F10CD"/>
    <w:rsid w:val="5C5315AD"/>
    <w:rsid w:val="5CC8148D"/>
    <w:rsid w:val="5CDD2189"/>
    <w:rsid w:val="5D496B43"/>
    <w:rsid w:val="5D97099A"/>
    <w:rsid w:val="5FC82F44"/>
    <w:rsid w:val="60451E2C"/>
    <w:rsid w:val="610D763F"/>
    <w:rsid w:val="62CD0F8D"/>
    <w:rsid w:val="63B32525"/>
    <w:rsid w:val="63D42D01"/>
    <w:rsid w:val="64D44605"/>
    <w:rsid w:val="66E03C52"/>
    <w:rsid w:val="6706137C"/>
    <w:rsid w:val="673208DA"/>
    <w:rsid w:val="67342013"/>
    <w:rsid w:val="67C57B88"/>
    <w:rsid w:val="68092A31"/>
    <w:rsid w:val="685A7572"/>
    <w:rsid w:val="6983772C"/>
    <w:rsid w:val="69E927C6"/>
    <w:rsid w:val="6A417029"/>
    <w:rsid w:val="6B160DE7"/>
    <w:rsid w:val="6B6A5B05"/>
    <w:rsid w:val="6CB42952"/>
    <w:rsid w:val="6CB44F64"/>
    <w:rsid w:val="6D191EB7"/>
    <w:rsid w:val="6DDB5DEA"/>
    <w:rsid w:val="6F557EBD"/>
    <w:rsid w:val="6FC02034"/>
    <w:rsid w:val="70C11A75"/>
    <w:rsid w:val="70D90FCF"/>
    <w:rsid w:val="711A479E"/>
    <w:rsid w:val="711D3818"/>
    <w:rsid w:val="719B4A18"/>
    <w:rsid w:val="71BB4F85"/>
    <w:rsid w:val="72D37BE8"/>
    <w:rsid w:val="730F411E"/>
    <w:rsid w:val="74E12AF7"/>
    <w:rsid w:val="75514BEB"/>
    <w:rsid w:val="772338A8"/>
    <w:rsid w:val="774A5F0D"/>
    <w:rsid w:val="7822047E"/>
    <w:rsid w:val="78475357"/>
    <w:rsid w:val="78AF2EB8"/>
    <w:rsid w:val="78B54D6F"/>
    <w:rsid w:val="79071F8D"/>
    <w:rsid w:val="7A8B01B7"/>
    <w:rsid w:val="7AE96229"/>
    <w:rsid w:val="7BA53631"/>
    <w:rsid w:val="7BD02257"/>
    <w:rsid w:val="7C0D0110"/>
    <w:rsid w:val="7DD80B3F"/>
    <w:rsid w:val="7E32377D"/>
    <w:rsid w:val="7E972638"/>
    <w:rsid w:val="7EBD29D4"/>
    <w:rsid w:val="7EF226E7"/>
    <w:rsid w:val="7EFB4FD8"/>
    <w:rsid w:val="7F3D476D"/>
    <w:rsid w:val="7F92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微软雅黑" w:hAnsi="微软雅黑"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FollowedHyperlink"/>
    <w:basedOn w:val="7"/>
    <w:unhideWhenUsed/>
    <w:qFormat/>
    <w:uiPriority w:val="99"/>
    <w:rPr>
      <w:color w:val="000000"/>
      <w:u w:val="none"/>
    </w:rPr>
  </w:style>
  <w:style w:type="character" w:styleId="9">
    <w:name w:val="Hyperlink"/>
    <w:basedOn w:val="7"/>
    <w:unhideWhenUsed/>
    <w:qFormat/>
    <w:uiPriority w:val="99"/>
    <w:rPr>
      <w:color w:val="000000"/>
      <w:u w:val="none"/>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paragraph" w:customStyle="1" w:styleId="13">
    <w:name w:val="List Paragraph"/>
    <w:basedOn w:val="1"/>
    <w:qFormat/>
    <w:uiPriority w:val="34"/>
    <w:pPr>
      <w:ind w:firstLine="420" w:firstLineChars="200"/>
    </w:pPr>
  </w:style>
  <w:style w:type="paragraph" w:customStyle="1" w:styleId="14">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15">
    <w:name w:val="apple-converted-space"/>
    <w:basedOn w:val="7"/>
    <w:qFormat/>
    <w:uiPriority w:val="0"/>
  </w:style>
  <w:style w:type="paragraph" w:customStyle="1" w:styleId="16">
    <w:name w:val="样式3"/>
    <w:basedOn w:val="3"/>
    <w:qFormat/>
    <w:uiPriority w:val="0"/>
    <w:pPr>
      <w:spacing w:line="0" w:lineRule="atLeast"/>
      <w:outlineLvl w:val="0"/>
    </w:pPr>
    <w:rPr>
      <w:rFonts w:cs="Times New Roman"/>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TotalTime>1</TotalTime>
  <ScaleCrop>false</ScaleCrop>
  <LinksUpToDate>false</LinksUpToDate>
  <CharactersWithSpaces>2869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可乐加冰</cp:lastModifiedBy>
  <cp:lastPrinted>2018-06-14T03:12:00Z</cp:lastPrinted>
  <dcterms:modified xsi:type="dcterms:W3CDTF">2018-09-21T06:47:09Z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